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16DA" w:rsidRDefault="001C23FE">
      <w:r>
        <w:rPr>
          <w:noProof/>
          <w:lang w:eastAsia="en-AU"/>
        </w:rPr>
        <w:drawing>
          <wp:anchor distT="0" distB="0" distL="114300" distR="114300" simplePos="0" relativeHeight="251698176" behindDoc="0" locked="1" layoutInCell="0" allowOverlap="1">
            <wp:simplePos x="0" y="0"/>
            <wp:positionH relativeFrom="page">
              <wp:posOffset>0</wp:posOffset>
            </wp:positionH>
            <wp:positionV relativeFrom="page">
              <wp:posOffset>0</wp:posOffset>
            </wp:positionV>
            <wp:extent cx="6334125" cy="8993505"/>
            <wp:effectExtent l="0" t="0" r="9525" b="0"/>
            <wp:wrapTopAndBottom/>
            <wp:docPr id="31" name="Picture 31" descr="Fron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P Plus\Docs\DVA\Veterans' Review Board\Annual Report 2017-18\sourcedocs\front cov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4125" cy="89935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80313" w:rsidRDefault="00A80313">
      <w:pPr>
        <w:sectPr w:rsidR="00A80313" w:rsidSect="00294894">
          <w:pgSz w:w="9979" w:h="14170" w:code="243"/>
          <w:pgMar w:top="1440" w:right="850" w:bottom="1138" w:left="1411" w:header="576" w:footer="576" w:gutter="0"/>
          <w:pgNumType w:fmt="lowerRoman"/>
          <w:cols w:space="708"/>
          <w:docGrid w:linePitch="360"/>
        </w:sectPr>
      </w:pPr>
    </w:p>
    <w:p w:rsidR="00A80313" w:rsidRDefault="00A80313"/>
    <w:p w:rsidR="001216DA" w:rsidRDefault="001216DA" w:rsidP="001216DA">
      <w:r>
        <w:t>Veterans’ Review Board Annual Report</w:t>
      </w:r>
    </w:p>
    <w:p w:rsidR="001216DA" w:rsidRDefault="001216DA" w:rsidP="001216DA">
      <w:r>
        <w:t>2017-2018</w:t>
      </w:r>
    </w:p>
    <w:p w:rsidR="001216DA" w:rsidRDefault="001216DA" w:rsidP="001216DA">
      <w:r>
        <w:t>Published by the Veterans’ Review Board</w:t>
      </w:r>
    </w:p>
    <w:p w:rsidR="001216DA" w:rsidRDefault="001216DA" w:rsidP="001216DA">
      <w:r>
        <w:t>Cover images courtesy of the Australian Government Department of Defence</w:t>
      </w:r>
    </w:p>
    <w:p w:rsidR="001216DA" w:rsidRDefault="001216DA" w:rsidP="001216DA">
      <w:r>
        <w:t>© Commonwealth of Australia 2018</w:t>
      </w:r>
    </w:p>
    <w:p w:rsidR="001216DA" w:rsidRDefault="001216DA" w:rsidP="001216DA">
      <w:r>
        <w:t>ISSN 0-818-0679</w:t>
      </w:r>
    </w:p>
    <w:p w:rsidR="001216DA" w:rsidRDefault="001216DA" w:rsidP="001216DA">
      <w:r>
        <w:t xml:space="preserve">This work is copyright. Apart from any use permitted under the </w:t>
      </w:r>
      <w:r w:rsidRPr="001216DA">
        <w:rPr>
          <w:i/>
        </w:rPr>
        <w:t>Copyright Act 1968</w:t>
      </w:r>
      <w:r w:rsidRPr="001216DA">
        <w:t>,</w:t>
      </w:r>
      <w:r>
        <w:t xml:space="preserve"> no part may be reproduced by any process without prior written permission from the Commonwealth available from the Veterans’ Review Board and inquiries concerning reproduction and rights should be addressed to the’ Review Board by email contact@vrb.gov.au or www.vrb.gov.au.</w:t>
      </w:r>
    </w:p>
    <w:p w:rsidR="00F152F5" w:rsidRDefault="00F152F5" w:rsidP="001216DA">
      <w:r>
        <w:t>Publication no. P03708</w:t>
      </w:r>
      <w:bookmarkStart w:id="0" w:name="_GoBack"/>
      <w:bookmarkEnd w:id="0"/>
    </w:p>
    <w:p w:rsidR="00A80313" w:rsidRDefault="00A80313">
      <w:pPr>
        <w:sectPr w:rsidR="00A80313" w:rsidSect="00294894">
          <w:headerReference w:type="even" r:id="rId10"/>
          <w:headerReference w:type="default" r:id="rId11"/>
          <w:footerReference w:type="even" r:id="rId12"/>
          <w:footerReference w:type="default" r:id="rId13"/>
          <w:pgSz w:w="9979" w:h="14170" w:code="243"/>
          <w:pgMar w:top="1440" w:right="850" w:bottom="1138" w:left="1411" w:header="576" w:footer="576" w:gutter="0"/>
          <w:pgNumType w:fmt="lowerRoman"/>
          <w:cols w:space="708"/>
          <w:vAlign w:val="bottom"/>
          <w:docGrid w:linePitch="360"/>
        </w:sectPr>
      </w:pPr>
    </w:p>
    <w:p w:rsidR="00FD50D0" w:rsidRPr="00FD50D0" w:rsidRDefault="00FD50D0" w:rsidP="00FD50D0">
      <w:pPr>
        <w:autoSpaceDE w:val="0"/>
        <w:autoSpaceDN w:val="0"/>
        <w:adjustRightInd w:val="0"/>
        <w:spacing w:after="240" w:line="240" w:lineRule="auto"/>
        <w:rPr>
          <w:rFonts w:cs="HelveticaNeue-Thin"/>
          <w:sz w:val="60"/>
          <w:szCs w:val="60"/>
        </w:rPr>
      </w:pPr>
      <w:r w:rsidRPr="00FD50D0">
        <w:rPr>
          <w:rFonts w:cs="HelveticaNeue-Thin"/>
          <w:sz w:val="60"/>
          <w:szCs w:val="60"/>
        </w:rPr>
        <w:lastRenderedPageBreak/>
        <w:t>Contact Information</w:t>
      </w:r>
    </w:p>
    <w:p w:rsidR="00AE01A4" w:rsidRDefault="00FD50D0" w:rsidP="00AE01A4">
      <w:pPr>
        <w:rPr>
          <w:rFonts w:ascii="HelveticaNeue-Light" w:hAnsi="HelveticaNeue-Light" w:cs="HelveticaNeue-Light"/>
          <w:color w:val="000000"/>
          <w:szCs w:val="18"/>
        </w:rPr>
      </w:pPr>
      <w:r>
        <w:t>The Principal Member</w:t>
      </w:r>
      <w:r w:rsidR="001D1DCA">
        <w:fldChar w:fldCharType="begin"/>
      </w:r>
      <w:r w:rsidR="001D1DCA">
        <w:instrText xml:space="preserve"> XE "</w:instrText>
      </w:r>
      <w:r w:rsidR="001D1DCA" w:rsidRPr="002D7689">
        <w:instrText>Principal Member</w:instrText>
      </w:r>
      <w:r w:rsidR="001D1DCA">
        <w:instrText xml:space="preserve">" </w:instrText>
      </w:r>
      <w:r w:rsidR="001D1DCA">
        <w:fldChar w:fldCharType="end"/>
      </w:r>
      <w:r>
        <w:t xml:space="preserve"> is responsible for the VRB’s operations. The Registrar</w:t>
      </w:r>
      <w:r w:rsidR="001D1DCA">
        <w:fldChar w:fldCharType="begin"/>
      </w:r>
      <w:r w:rsidR="001D1DCA">
        <w:instrText xml:space="preserve"> XE "</w:instrText>
      </w:r>
      <w:r w:rsidR="001D1DCA" w:rsidRPr="002D7689">
        <w:instrText>Registrars</w:instrText>
      </w:r>
      <w:r w:rsidR="001D1DCA">
        <w:instrText xml:space="preserve">" </w:instrText>
      </w:r>
      <w:r w:rsidR="001D1DCA">
        <w:fldChar w:fldCharType="end"/>
      </w:r>
      <w:r>
        <w:t xml:space="preserve"> in each State is responsible to the National Registrar</w:t>
      </w:r>
      <w:r w:rsidR="0018474C">
        <w:fldChar w:fldCharType="begin"/>
      </w:r>
      <w:r w:rsidR="0018474C">
        <w:instrText xml:space="preserve"> XE "</w:instrText>
      </w:r>
      <w:r w:rsidR="0018474C" w:rsidRPr="003924C2">
        <w:instrText>National Registrar</w:instrText>
      </w:r>
      <w:r w:rsidR="0018474C">
        <w:instrText xml:space="preserve">" </w:instrText>
      </w:r>
      <w:r w:rsidR="0018474C">
        <w:fldChar w:fldCharType="end"/>
      </w:r>
      <w:r>
        <w:t xml:space="preserve"> for arranging the VRB’s day to day business. Registry addresses and the names of those who can assist with enquiries or requests for information are: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974"/>
        <w:gridCol w:w="3974"/>
      </w:tblGrid>
      <w:tr w:rsidR="00AE01A4" w:rsidTr="00AE01A4">
        <w:trPr>
          <w:cantSplit/>
        </w:trPr>
        <w:tc>
          <w:tcPr>
            <w:tcW w:w="3967" w:type="dxa"/>
          </w:tcPr>
          <w:p w:rsidR="00AE01A4" w:rsidRDefault="00AE01A4" w:rsidP="00AF393C">
            <w:pPr>
              <w:pStyle w:val="Heading3"/>
              <w:spacing w:before="240"/>
            </w:pPr>
            <w:r>
              <w:t>National Registry</w:t>
            </w:r>
          </w:p>
          <w:p w:rsidR="00AE01A4" w:rsidRDefault="00AE01A4" w:rsidP="00AE01A4">
            <w:r>
              <w:t>Level 2, Building B</w:t>
            </w:r>
            <w:r w:rsidR="00B05389">
              <w:br/>
            </w:r>
            <w:r>
              <w:t>Centennial Plaza</w:t>
            </w:r>
            <w:r w:rsidR="00B05389">
              <w:br/>
            </w:r>
            <w:r>
              <w:t>280 Elizabeth Street</w:t>
            </w:r>
            <w:r w:rsidR="00B05389">
              <w:br/>
            </w:r>
            <w:r>
              <w:t>Surry Hills NSW 2010</w:t>
            </w:r>
          </w:p>
          <w:p w:rsidR="00AE01A4" w:rsidRDefault="00AE01A4" w:rsidP="00AE01A4">
            <w:pPr>
              <w:pStyle w:val="Heading4"/>
            </w:pPr>
            <w:r>
              <w:t>National Registrar</w:t>
            </w:r>
          </w:p>
          <w:p w:rsidR="00AE01A4" w:rsidRDefault="00AE01A4" w:rsidP="00AE01A4">
            <w:r>
              <w:t>Katrina Harry</w:t>
            </w:r>
          </w:p>
          <w:p w:rsidR="00AE01A4" w:rsidRDefault="00AE01A4" w:rsidP="00AE01A4">
            <w:pPr>
              <w:pStyle w:val="Heading4"/>
            </w:pPr>
            <w:r>
              <w:t>Information Officer</w:t>
            </w:r>
          </w:p>
          <w:p w:rsidR="00AE01A4" w:rsidRDefault="00AE01A4" w:rsidP="00AE01A4">
            <w:r>
              <w:t>Mark Huthnance</w:t>
            </w:r>
            <w:r w:rsidR="00B05389">
              <w:br/>
            </w:r>
            <w:r>
              <w:t>Phone:</w:t>
            </w:r>
            <w:r w:rsidR="00B05389">
              <w:tab/>
            </w:r>
            <w:r>
              <w:t>(02) 9213 8631</w:t>
            </w:r>
            <w:r w:rsidR="00B05389">
              <w:br/>
            </w:r>
            <w:r>
              <w:t>Fax:</w:t>
            </w:r>
            <w:r w:rsidR="00B05389">
              <w:tab/>
            </w:r>
            <w:r>
              <w:t>(02) 9211 3074</w:t>
            </w:r>
          </w:p>
          <w:p w:rsidR="00AE01A4" w:rsidRDefault="00AE01A4" w:rsidP="00B05389">
            <w:r>
              <w:t>Information about the VRB is available on the</w:t>
            </w:r>
            <w:r w:rsidR="00B05389">
              <w:t xml:space="preserve"> </w:t>
            </w:r>
            <w:r>
              <w:t>Internet</w:t>
            </w:r>
            <w:r w:rsidR="00C202FD">
              <w:fldChar w:fldCharType="begin"/>
            </w:r>
            <w:r w:rsidR="00C202FD">
              <w:instrText xml:space="preserve"> XE "</w:instrText>
            </w:r>
            <w:r w:rsidR="00C202FD" w:rsidRPr="003924C2">
              <w:instrText>Internet</w:instrText>
            </w:r>
            <w:r w:rsidR="00C202FD">
              <w:instrText xml:space="preserve">" </w:instrText>
            </w:r>
            <w:r w:rsidR="00C202FD">
              <w:fldChar w:fldCharType="end"/>
            </w:r>
            <w:r>
              <w:t>. The VRB’s Internet address is: www.vrb.gov.au.</w:t>
            </w:r>
          </w:p>
          <w:p w:rsidR="00AE01A4" w:rsidRDefault="00AE01A4" w:rsidP="00B05389">
            <w:r>
              <w:t>This annual report can be found online at</w:t>
            </w:r>
            <w:r w:rsidR="00B05389">
              <w:t xml:space="preserve"> </w:t>
            </w:r>
            <w:r>
              <w:t>http://www.vrb.gov.au/publications.html</w:t>
            </w:r>
          </w:p>
          <w:p w:rsidR="00AE01A4" w:rsidRDefault="00AE01A4" w:rsidP="00B05389">
            <w:r>
              <w:t>VRB email: contact@vrb.gov.au</w:t>
            </w:r>
          </w:p>
          <w:p w:rsidR="00AE01A4" w:rsidRDefault="00AE01A4" w:rsidP="00294894">
            <w:pPr>
              <w:pStyle w:val="Heading3"/>
              <w:spacing w:before="240"/>
            </w:pPr>
            <w:r>
              <w:t>South-Eastern Registry</w:t>
            </w:r>
          </w:p>
          <w:p w:rsidR="00AE01A4" w:rsidRDefault="00AE01A4" w:rsidP="00AE01A4">
            <w:pPr>
              <w:pStyle w:val="Heading4"/>
            </w:pPr>
            <w:r>
              <w:t>Sydney Office</w:t>
            </w:r>
          </w:p>
          <w:p w:rsidR="00AE01A4" w:rsidRDefault="00AE01A4" w:rsidP="00AE01A4">
            <w:r>
              <w:t>Level 2, Building B</w:t>
            </w:r>
            <w:r>
              <w:br/>
              <w:t>Centennial Plaza</w:t>
            </w:r>
            <w:r>
              <w:br/>
              <w:t>280 Elizabeth Street</w:t>
            </w:r>
            <w:r>
              <w:br/>
              <w:t>Surry Hills NSW 2010</w:t>
            </w:r>
          </w:p>
          <w:p w:rsidR="00AE01A4" w:rsidRDefault="00AE01A4" w:rsidP="00AE01A4">
            <w:r>
              <w:t>Telephone:</w:t>
            </w:r>
            <w:r>
              <w:br/>
              <w:t>Local:</w:t>
            </w:r>
            <w:r>
              <w:tab/>
              <w:t>(02) 9213 8631</w:t>
            </w:r>
            <w:r>
              <w:br/>
              <w:t>City:</w:t>
            </w:r>
            <w:r>
              <w:tab/>
              <w:t>1300 550 460</w:t>
            </w:r>
            <w:r>
              <w:br/>
              <w:t>Country:</w:t>
            </w:r>
            <w:r>
              <w:tab/>
              <w:t>1800 550 460</w:t>
            </w:r>
            <w:r>
              <w:br/>
              <w:t>Fax:</w:t>
            </w:r>
            <w:r>
              <w:tab/>
              <w:t>(02) 9211 3074</w:t>
            </w:r>
          </w:p>
        </w:tc>
        <w:tc>
          <w:tcPr>
            <w:tcW w:w="3967" w:type="dxa"/>
          </w:tcPr>
          <w:p w:rsidR="00AE01A4" w:rsidRDefault="00AE01A4" w:rsidP="00AF393C">
            <w:pPr>
              <w:pStyle w:val="Heading3"/>
              <w:spacing w:before="240"/>
            </w:pPr>
            <w:r>
              <w:t>Melbourne Office</w:t>
            </w:r>
          </w:p>
          <w:p w:rsidR="00AE01A4" w:rsidRDefault="00AE01A4" w:rsidP="00AE01A4">
            <w:r>
              <w:t>11th Floor</w:t>
            </w:r>
            <w:r>
              <w:br/>
              <w:t>300 La Trobe Street</w:t>
            </w:r>
            <w:r>
              <w:br/>
              <w:t>Melbourne VIC 3000</w:t>
            </w:r>
          </w:p>
          <w:p w:rsidR="00AE01A4" w:rsidRDefault="00AE01A4" w:rsidP="00AE01A4">
            <w:r>
              <w:t>Telephone:</w:t>
            </w:r>
            <w:r>
              <w:br/>
              <w:t>Local:</w:t>
            </w:r>
            <w:r>
              <w:tab/>
              <w:t>(03) 9602 8000</w:t>
            </w:r>
            <w:r>
              <w:br/>
              <w:t>Hobart:</w:t>
            </w:r>
            <w:r>
              <w:tab/>
              <w:t>(03) 6221 6646</w:t>
            </w:r>
            <w:r>
              <w:br/>
              <w:t>City:</w:t>
            </w:r>
            <w:r>
              <w:tab/>
              <w:t>1300 550 460</w:t>
            </w:r>
            <w:r>
              <w:br/>
              <w:t>Country:</w:t>
            </w:r>
            <w:r>
              <w:tab/>
              <w:t>1800 550 460</w:t>
            </w:r>
            <w:r>
              <w:br/>
              <w:t>Fax:</w:t>
            </w:r>
            <w:r>
              <w:tab/>
              <w:t>(03) 9602 1496</w:t>
            </w:r>
          </w:p>
          <w:p w:rsidR="00AE01A4" w:rsidRDefault="00AE01A4" w:rsidP="00294894">
            <w:pPr>
              <w:pStyle w:val="Heading3"/>
              <w:spacing w:before="240"/>
            </w:pPr>
            <w:r>
              <w:t>North-Western and South Australian Registry</w:t>
            </w:r>
          </w:p>
          <w:p w:rsidR="00AE01A4" w:rsidRDefault="00AE01A4" w:rsidP="00AE01A4">
            <w:pPr>
              <w:pStyle w:val="Heading4"/>
            </w:pPr>
            <w:r>
              <w:t>Brisbane Office</w:t>
            </w:r>
          </w:p>
          <w:p w:rsidR="00AE01A4" w:rsidRDefault="00AE01A4" w:rsidP="00AE01A4">
            <w:r>
              <w:t>Level 8, NAB Place</w:t>
            </w:r>
            <w:r>
              <w:br/>
              <w:t>259 Queen Street</w:t>
            </w:r>
            <w:r>
              <w:br/>
              <w:t>Brisbane QLD 4000</w:t>
            </w:r>
          </w:p>
          <w:p w:rsidR="00AE01A4" w:rsidRDefault="00AE01A4" w:rsidP="00AE01A4">
            <w:r>
              <w:t>Telephone:</w:t>
            </w:r>
            <w:r>
              <w:br/>
              <w:t>Local:</w:t>
            </w:r>
            <w:r>
              <w:tab/>
              <w:t>(0</w:t>
            </w:r>
            <w:r w:rsidRPr="00AE01A4">
              <w:t>7) 3815 9250</w:t>
            </w:r>
            <w:r w:rsidRPr="00AE01A4">
              <w:br/>
              <w:t>City:</w:t>
            </w:r>
            <w:r w:rsidRPr="00AE01A4">
              <w:tab/>
              <w:t>1300 550 460</w:t>
            </w:r>
            <w:r w:rsidRPr="00AE01A4">
              <w:br/>
              <w:t>Country:</w:t>
            </w:r>
            <w:r w:rsidRPr="00AE01A4">
              <w:tab/>
              <w:t>1800 550 460</w:t>
            </w:r>
            <w:r w:rsidRPr="00AE01A4">
              <w:br/>
              <w:t>Fax:</w:t>
            </w:r>
            <w:r w:rsidRPr="00AE01A4">
              <w:tab/>
              <w:t>(07</w:t>
            </w:r>
            <w:r>
              <w:t>) 3815 9221</w:t>
            </w:r>
          </w:p>
          <w:p w:rsidR="00AE01A4" w:rsidRDefault="00AE01A4" w:rsidP="00AE01A4">
            <w:pPr>
              <w:tabs>
                <w:tab w:val="left" w:pos="871"/>
              </w:tabs>
            </w:pPr>
          </w:p>
        </w:tc>
      </w:tr>
    </w:tbl>
    <w:p w:rsidR="00AE01A4" w:rsidRDefault="00AE01A4" w:rsidP="00AE01A4"/>
    <w:p w:rsidR="00AE01A4" w:rsidRDefault="00AE01A4" w:rsidP="00AE01A4">
      <w:pPr>
        <w:sectPr w:rsidR="00AE01A4" w:rsidSect="00294894">
          <w:type w:val="oddPage"/>
          <w:pgSz w:w="9979" w:h="14170" w:code="243"/>
          <w:pgMar w:top="1440" w:right="850" w:bottom="1138" w:left="1411" w:header="576" w:footer="576" w:gutter="0"/>
          <w:pgNumType w:fmt="lowerRoman"/>
          <w:cols w:space="708"/>
          <w:vAlign w:val="center"/>
          <w:docGrid w:linePitch="360"/>
        </w:sectPr>
      </w:pPr>
    </w:p>
    <w:p w:rsidR="00582023" w:rsidRDefault="00582023" w:rsidP="00582023"/>
    <w:p w:rsidR="00582023" w:rsidRDefault="00582023" w:rsidP="00582023">
      <w:r>
        <w:t>The Hon Darren Chester</w:t>
      </w:r>
      <w:r>
        <w:br/>
        <w:t>Minister for Veterans’ Affairs</w:t>
      </w:r>
      <w:r>
        <w:br/>
        <w:t>Parliament House</w:t>
      </w:r>
      <w:r>
        <w:br/>
        <w:t>CANBERRA ACT 2600</w:t>
      </w:r>
    </w:p>
    <w:p w:rsidR="00582023" w:rsidRDefault="00582023" w:rsidP="00582023"/>
    <w:p w:rsidR="00582023" w:rsidRDefault="00582023" w:rsidP="00582023">
      <w:r>
        <w:t>Dear Minister</w:t>
      </w:r>
    </w:p>
    <w:p w:rsidR="00582023" w:rsidRDefault="00582023" w:rsidP="00582023">
      <w:r>
        <w:t xml:space="preserve">In accordance with subsection 215(4) of the </w:t>
      </w:r>
      <w:r w:rsidRPr="00582023">
        <w:rPr>
          <w:i/>
        </w:rPr>
        <w:t>Veterans’ Entitlements</w:t>
      </w:r>
      <w:r>
        <w:rPr>
          <w:i/>
        </w:rPr>
        <w:br/>
      </w:r>
      <w:r w:rsidRPr="00582023">
        <w:rPr>
          <w:i/>
        </w:rPr>
        <w:t>Act 1986</w:t>
      </w:r>
      <w:r w:rsidRPr="00582023">
        <w:t>,</w:t>
      </w:r>
      <w:r>
        <w:t xml:space="preserve"> I present my report on the operations of the Veterans’</w:t>
      </w:r>
      <w:r>
        <w:br/>
        <w:t>Review Board for the year ending 30 June 2018.</w:t>
      </w:r>
    </w:p>
    <w:p w:rsidR="00582023" w:rsidRDefault="00582023" w:rsidP="00582023">
      <w:r>
        <w:t>This report has been prepared in accordance with the Requirements</w:t>
      </w:r>
      <w:r>
        <w:br/>
        <w:t>for Departmental Annual Reports issued by the Department of the</w:t>
      </w:r>
      <w:r>
        <w:br/>
        <w:t>Prime Minister and Cabinet, to the extent that they are relevant to the</w:t>
      </w:r>
      <w:r>
        <w:br/>
        <w:t>Board’s operations.</w:t>
      </w:r>
    </w:p>
    <w:p w:rsidR="00A80313" w:rsidRDefault="00582023" w:rsidP="00582023">
      <w:r>
        <w:t>Yours sincerely,</w:t>
      </w:r>
    </w:p>
    <w:p w:rsidR="00582023" w:rsidRDefault="00582023" w:rsidP="00582023"/>
    <w:p w:rsidR="00582023" w:rsidRDefault="00582023" w:rsidP="00582023"/>
    <w:p w:rsidR="00582023" w:rsidRDefault="00582023" w:rsidP="00582023"/>
    <w:p w:rsidR="00582023" w:rsidRDefault="00582023" w:rsidP="00582023">
      <w:r>
        <w:t>Jane Anderson</w:t>
      </w:r>
      <w:r>
        <w:br/>
        <w:t>Principal Member</w:t>
      </w:r>
    </w:p>
    <w:p w:rsidR="00582023" w:rsidRDefault="00582023" w:rsidP="00582023">
      <w:r>
        <w:t>28 September 2018</w:t>
      </w:r>
    </w:p>
    <w:p w:rsidR="00A80313" w:rsidRDefault="00A80313"/>
    <w:p w:rsidR="00A80313" w:rsidRDefault="00A80313">
      <w:pPr>
        <w:sectPr w:rsidR="00A80313" w:rsidSect="00582023">
          <w:pgSz w:w="9979" w:h="14170" w:code="243"/>
          <w:pgMar w:top="1440" w:right="850" w:bottom="1138" w:left="1411" w:header="576" w:footer="576" w:gutter="0"/>
          <w:pgNumType w:fmt="lowerRoman"/>
          <w:cols w:space="708"/>
          <w:vAlign w:val="center"/>
          <w:docGrid w:linePitch="360"/>
        </w:sectPr>
      </w:pPr>
    </w:p>
    <w:p w:rsidR="00A80313" w:rsidRPr="00582023" w:rsidRDefault="00582023" w:rsidP="00582023">
      <w:pPr>
        <w:spacing w:before="960"/>
        <w:rPr>
          <w:rFonts w:cs="HelveticaNeue-Thin"/>
          <w:color w:val="8D0026"/>
          <w:sz w:val="60"/>
          <w:szCs w:val="60"/>
        </w:rPr>
      </w:pPr>
      <w:r w:rsidRPr="00582023">
        <w:rPr>
          <w:rFonts w:cs="HelveticaNeue-Thin"/>
          <w:color w:val="8D0026"/>
          <w:sz w:val="60"/>
          <w:szCs w:val="60"/>
        </w:rPr>
        <w:lastRenderedPageBreak/>
        <w:t>CONTENTS</w:t>
      </w:r>
    </w:p>
    <w:p w:rsidR="00582023" w:rsidRDefault="00582023"/>
    <w:p w:rsidR="00DE0106" w:rsidRDefault="00B946AE">
      <w:pPr>
        <w:pStyle w:val="TOC1"/>
        <w:tabs>
          <w:tab w:val="right" w:leader="dot" w:pos="7708"/>
        </w:tabs>
        <w:rPr>
          <w:rFonts w:asciiTheme="minorHAnsi" w:eastAsiaTheme="minorEastAsia" w:hAnsiTheme="minorHAnsi" w:cstheme="minorBidi"/>
          <w:noProof/>
          <w:sz w:val="22"/>
          <w:szCs w:val="22"/>
          <w:lang w:eastAsia="en-AU"/>
        </w:rPr>
      </w:pPr>
      <w:r>
        <w:fldChar w:fldCharType="begin"/>
      </w:r>
      <w:r>
        <w:instrText xml:space="preserve"> TOC \o "1-2" \h \z \u </w:instrText>
      </w:r>
      <w:r>
        <w:fldChar w:fldCharType="separate"/>
      </w:r>
      <w:hyperlink w:anchor="_Toc532322362" w:history="1">
        <w:r w:rsidR="00DE0106" w:rsidRPr="0026341F">
          <w:rPr>
            <w:rStyle w:val="Hyperlink"/>
            <w:rFonts w:cs="HelveticaNeue-Thin"/>
            <w:noProof/>
          </w:rPr>
          <w:t xml:space="preserve">Part 1 –  </w:t>
        </w:r>
        <w:r w:rsidR="00DE0106" w:rsidRPr="0026341F">
          <w:rPr>
            <w:rStyle w:val="Hyperlink"/>
            <w:noProof/>
          </w:rPr>
          <w:t>Principal Member’s Report</w:t>
        </w:r>
        <w:r w:rsidR="00DE0106">
          <w:rPr>
            <w:noProof/>
            <w:webHidden/>
          </w:rPr>
          <w:tab/>
        </w:r>
        <w:r w:rsidR="00DE0106">
          <w:rPr>
            <w:noProof/>
            <w:webHidden/>
          </w:rPr>
          <w:fldChar w:fldCharType="begin"/>
        </w:r>
        <w:r w:rsidR="00DE0106">
          <w:rPr>
            <w:noProof/>
            <w:webHidden/>
          </w:rPr>
          <w:instrText xml:space="preserve"> PAGEREF _Toc532322362 \h </w:instrText>
        </w:r>
        <w:r w:rsidR="00DE0106">
          <w:rPr>
            <w:noProof/>
            <w:webHidden/>
          </w:rPr>
        </w:r>
        <w:r w:rsidR="00DE0106">
          <w:rPr>
            <w:noProof/>
            <w:webHidden/>
          </w:rPr>
          <w:fldChar w:fldCharType="separate"/>
        </w:r>
        <w:r w:rsidR="00DE0106">
          <w:rPr>
            <w:noProof/>
            <w:webHidden/>
          </w:rPr>
          <w:t>2</w:t>
        </w:r>
        <w:r w:rsidR="00DE0106">
          <w:rPr>
            <w:noProof/>
            <w:webHidden/>
          </w:rPr>
          <w:fldChar w:fldCharType="end"/>
        </w:r>
      </w:hyperlink>
    </w:p>
    <w:p w:rsidR="00DE0106" w:rsidRDefault="00AF393C">
      <w:pPr>
        <w:pStyle w:val="TOC1"/>
        <w:tabs>
          <w:tab w:val="right" w:leader="dot" w:pos="7708"/>
        </w:tabs>
        <w:rPr>
          <w:rFonts w:asciiTheme="minorHAnsi" w:eastAsiaTheme="minorEastAsia" w:hAnsiTheme="minorHAnsi" w:cstheme="minorBidi"/>
          <w:noProof/>
          <w:sz w:val="22"/>
          <w:szCs w:val="22"/>
          <w:lang w:eastAsia="en-AU"/>
        </w:rPr>
      </w:pPr>
      <w:hyperlink w:anchor="_Toc532322363" w:history="1">
        <w:r w:rsidR="00DE0106" w:rsidRPr="0026341F">
          <w:rPr>
            <w:rStyle w:val="Hyperlink"/>
            <w:noProof/>
          </w:rPr>
          <w:t>Part 2 – The role of the VRB</w:t>
        </w:r>
        <w:r w:rsidR="00DE0106">
          <w:rPr>
            <w:noProof/>
            <w:webHidden/>
          </w:rPr>
          <w:tab/>
        </w:r>
        <w:r w:rsidR="00DE0106">
          <w:rPr>
            <w:noProof/>
            <w:webHidden/>
          </w:rPr>
          <w:fldChar w:fldCharType="begin"/>
        </w:r>
        <w:r w:rsidR="00DE0106">
          <w:rPr>
            <w:noProof/>
            <w:webHidden/>
          </w:rPr>
          <w:instrText xml:space="preserve"> PAGEREF _Toc532322363 \h </w:instrText>
        </w:r>
        <w:r w:rsidR="00DE0106">
          <w:rPr>
            <w:noProof/>
            <w:webHidden/>
          </w:rPr>
        </w:r>
        <w:r w:rsidR="00DE0106">
          <w:rPr>
            <w:noProof/>
            <w:webHidden/>
          </w:rPr>
          <w:fldChar w:fldCharType="separate"/>
        </w:r>
        <w:r w:rsidR="00DE0106">
          <w:rPr>
            <w:noProof/>
            <w:webHidden/>
          </w:rPr>
          <w:t>6</w:t>
        </w:r>
        <w:r w:rsidR="00DE0106">
          <w:rPr>
            <w:noProof/>
            <w:webHidden/>
          </w:rPr>
          <w:fldChar w:fldCharType="end"/>
        </w:r>
      </w:hyperlink>
    </w:p>
    <w:p w:rsidR="00DE0106" w:rsidRDefault="00AF393C">
      <w:pPr>
        <w:pStyle w:val="TOC2"/>
        <w:rPr>
          <w:rFonts w:asciiTheme="minorHAnsi" w:eastAsiaTheme="minorEastAsia" w:hAnsiTheme="minorHAnsi" w:cstheme="minorBidi"/>
          <w:noProof/>
          <w:sz w:val="22"/>
          <w:szCs w:val="22"/>
          <w:lang w:eastAsia="en-AU"/>
        </w:rPr>
      </w:pPr>
      <w:hyperlink w:anchor="_Toc532322364" w:history="1">
        <w:r w:rsidR="00DE0106" w:rsidRPr="0026341F">
          <w:rPr>
            <w:rStyle w:val="Hyperlink"/>
            <w:noProof/>
          </w:rPr>
          <w:t>Reviewable decisions under VEA and MRCA</w:t>
        </w:r>
        <w:r w:rsidR="00DE0106">
          <w:rPr>
            <w:noProof/>
            <w:webHidden/>
          </w:rPr>
          <w:tab/>
        </w:r>
        <w:r w:rsidR="00DE0106">
          <w:rPr>
            <w:noProof/>
            <w:webHidden/>
          </w:rPr>
          <w:fldChar w:fldCharType="begin"/>
        </w:r>
        <w:r w:rsidR="00DE0106">
          <w:rPr>
            <w:noProof/>
            <w:webHidden/>
          </w:rPr>
          <w:instrText xml:space="preserve"> PAGEREF _Toc532322364 \h </w:instrText>
        </w:r>
        <w:r w:rsidR="00DE0106">
          <w:rPr>
            <w:noProof/>
            <w:webHidden/>
          </w:rPr>
        </w:r>
        <w:r w:rsidR="00DE0106">
          <w:rPr>
            <w:noProof/>
            <w:webHidden/>
          </w:rPr>
          <w:fldChar w:fldCharType="separate"/>
        </w:r>
        <w:r w:rsidR="00DE0106">
          <w:rPr>
            <w:noProof/>
            <w:webHidden/>
          </w:rPr>
          <w:t>7</w:t>
        </w:r>
        <w:r w:rsidR="00DE0106">
          <w:rPr>
            <w:noProof/>
            <w:webHidden/>
          </w:rPr>
          <w:fldChar w:fldCharType="end"/>
        </w:r>
      </w:hyperlink>
    </w:p>
    <w:p w:rsidR="00DE0106" w:rsidRDefault="00AF393C">
      <w:pPr>
        <w:pStyle w:val="TOC2"/>
        <w:rPr>
          <w:rFonts w:asciiTheme="minorHAnsi" w:eastAsiaTheme="minorEastAsia" w:hAnsiTheme="minorHAnsi" w:cstheme="minorBidi"/>
          <w:noProof/>
          <w:sz w:val="22"/>
          <w:szCs w:val="22"/>
          <w:lang w:eastAsia="en-AU"/>
        </w:rPr>
      </w:pPr>
      <w:hyperlink w:anchor="_Toc532322365" w:history="1">
        <w:r w:rsidR="00DE0106" w:rsidRPr="0026341F">
          <w:rPr>
            <w:rStyle w:val="Hyperlink"/>
            <w:noProof/>
          </w:rPr>
          <w:t>The VRB at a glance 2017–18</w:t>
        </w:r>
        <w:r w:rsidR="00DE0106">
          <w:rPr>
            <w:noProof/>
            <w:webHidden/>
          </w:rPr>
          <w:tab/>
        </w:r>
        <w:r w:rsidR="00DE0106">
          <w:rPr>
            <w:noProof/>
            <w:webHidden/>
          </w:rPr>
          <w:fldChar w:fldCharType="begin"/>
        </w:r>
        <w:r w:rsidR="00DE0106">
          <w:rPr>
            <w:noProof/>
            <w:webHidden/>
          </w:rPr>
          <w:instrText xml:space="preserve"> PAGEREF _Toc532322365 \h </w:instrText>
        </w:r>
        <w:r w:rsidR="00DE0106">
          <w:rPr>
            <w:noProof/>
            <w:webHidden/>
          </w:rPr>
        </w:r>
        <w:r w:rsidR="00DE0106">
          <w:rPr>
            <w:noProof/>
            <w:webHidden/>
          </w:rPr>
          <w:fldChar w:fldCharType="separate"/>
        </w:r>
        <w:r w:rsidR="00DE0106">
          <w:rPr>
            <w:noProof/>
            <w:webHidden/>
          </w:rPr>
          <w:t>11</w:t>
        </w:r>
        <w:r w:rsidR="00DE0106">
          <w:rPr>
            <w:noProof/>
            <w:webHidden/>
          </w:rPr>
          <w:fldChar w:fldCharType="end"/>
        </w:r>
      </w:hyperlink>
    </w:p>
    <w:p w:rsidR="00DE0106" w:rsidRDefault="00AF393C">
      <w:pPr>
        <w:pStyle w:val="TOC2"/>
        <w:rPr>
          <w:rFonts w:asciiTheme="minorHAnsi" w:eastAsiaTheme="minorEastAsia" w:hAnsiTheme="minorHAnsi" w:cstheme="minorBidi"/>
          <w:noProof/>
          <w:sz w:val="22"/>
          <w:szCs w:val="22"/>
          <w:lang w:eastAsia="en-AU"/>
        </w:rPr>
      </w:pPr>
      <w:hyperlink w:anchor="_Toc532322366" w:history="1">
        <w:r w:rsidR="00DE0106" w:rsidRPr="0026341F">
          <w:rPr>
            <w:rStyle w:val="Hyperlink"/>
            <w:noProof/>
          </w:rPr>
          <w:t>Membership of the VRB as at 30 June 2018</w:t>
        </w:r>
        <w:r w:rsidR="00DE0106">
          <w:rPr>
            <w:noProof/>
            <w:webHidden/>
          </w:rPr>
          <w:tab/>
        </w:r>
        <w:r w:rsidR="00DE0106">
          <w:rPr>
            <w:noProof/>
            <w:webHidden/>
          </w:rPr>
          <w:fldChar w:fldCharType="begin"/>
        </w:r>
        <w:r w:rsidR="00DE0106">
          <w:rPr>
            <w:noProof/>
            <w:webHidden/>
          </w:rPr>
          <w:instrText xml:space="preserve"> PAGEREF _Toc532322366 \h </w:instrText>
        </w:r>
        <w:r w:rsidR="00DE0106">
          <w:rPr>
            <w:noProof/>
            <w:webHidden/>
          </w:rPr>
        </w:r>
        <w:r w:rsidR="00DE0106">
          <w:rPr>
            <w:noProof/>
            <w:webHidden/>
          </w:rPr>
          <w:fldChar w:fldCharType="separate"/>
        </w:r>
        <w:r w:rsidR="00DE0106">
          <w:rPr>
            <w:noProof/>
            <w:webHidden/>
          </w:rPr>
          <w:t>12</w:t>
        </w:r>
        <w:r w:rsidR="00DE0106">
          <w:rPr>
            <w:noProof/>
            <w:webHidden/>
          </w:rPr>
          <w:fldChar w:fldCharType="end"/>
        </w:r>
      </w:hyperlink>
    </w:p>
    <w:p w:rsidR="00DE0106" w:rsidRDefault="00AF393C">
      <w:pPr>
        <w:pStyle w:val="TOC1"/>
        <w:tabs>
          <w:tab w:val="right" w:leader="dot" w:pos="7708"/>
        </w:tabs>
        <w:rPr>
          <w:rFonts w:asciiTheme="minorHAnsi" w:eastAsiaTheme="minorEastAsia" w:hAnsiTheme="minorHAnsi" w:cstheme="minorBidi"/>
          <w:noProof/>
          <w:sz w:val="22"/>
          <w:szCs w:val="22"/>
          <w:lang w:eastAsia="en-AU"/>
        </w:rPr>
      </w:pPr>
      <w:hyperlink w:anchor="_Toc532322367" w:history="1">
        <w:r w:rsidR="00DE0106" w:rsidRPr="0026341F">
          <w:rPr>
            <w:rStyle w:val="Hyperlink"/>
            <w:noProof/>
          </w:rPr>
          <w:t>Part 3 – Workload and Performance Report</w:t>
        </w:r>
        <w:r w:rsidR="00DE0106">
          <w:rPr>
            <w:noProof/>
            <w:webHidden/>
          </w:rPr>
          <w:tab/>
        </w:r>
        <w:r w:rsidR="00DE0106">
          <w:rPr>
            <w:noProof/>
            <w:webHidden/>
          </w:rPr>
          <w:fldChar w:fldCharType="begin"/>
        </w:r>
        <w:r w:rsidR="00DE0106">
          <w:rPr>
            <w:noProof/>
            <w:webHidden/>
          </w:rPr>
          <w:instrText xml:space="preserve"> PAGEREF _Toc532322367 \h </w:instrText>
        </w:r>
        <w:r w:rsidR="00DE0106">
          <w:rPr>
            <w:noProof/>
            <w:webHidden/>
          </w:rPr>
        </w:r>
        <w:r w:rsidR="00DE0106">
          <w:rPr>
            <w:noProof/>
            <w:webHidden/>
          </w:rPr>
          <w:fldChar w:fldCharType="separate"/>
        </w:r>
        <w:r w:rsidR="00DE0106">
          <w:rPr>
            <w:noProof/>
            <w:webHidden/>
          </w:rPr>
          <w:t>16</w:t>
        </w:r>
        <w:r w:rsidR="00DE0106">
          <w:rPr>
            <w:noProof/>
            <w:webHidden/>
          </w:rPr>
          <w:fldChar w:fldCharType="end"/>
        </w:r>
      </w:hyperlink>
    </w:p>
    <w:p w:rsidR="00DE0106" w:rsidRDefault="00AF393C">
      <w:pPr>
        <w:pStyle w:val="TOC1"/>
        <w:tabs>
          <w:tab w:val="right" w:leader="dot" w:pos="7708"/>
        </w:tabs>
        <w:rPr>
          <w:rFonts w:asciiTheme="minorHAnsi" w:eastAsiaTheme="minorEastAsia" w:hAnsiTheme="minorHAnsi" w:cstheme="minorBidi"/>
          <w:noProof/>
          <w:sz w:val="22"/>
          <w:szCs w:val="22"/>
          <w:lang w:eastAsia="en-AU"/>
        </w:rPr>
      </w:pPr>
      <w:hyperlink w:anchor="_Toc532322368" w:history="1">
        <w:r w:rsidR="00DE0106" w:rsidRPr="0026341F">
          <w:rPr>
            <w:rStyle w:val="Hyperlink"/>
            <w:noProof/>
          </w:rPr>
          <w:t>Part 4 – Management and Accountability</w:t>
        </w:r>
        <w:r w:rsidR="00DE0106">
          <w:rPr>
            <w:noProof/>
            <w:webHidden/>
          </w:rPr>
          <w:tab/>
        </w:r>
        <w:r w:rsidR="00DE0106">
          <w:rPr>
            <w:noProof/>
            <w:webHidden/>
          </w:rPr>
          <w:fldChar w:fldCharType="begin"/>
        </w:r>
        <w:r w:rsidR="00DE0106">
          <w:rPr>
            <w:noProof/>
            <w:webHidden/>
          </w:rPr>
          <w:instrText xml:space="preserve"> PAGEREF _Toc532322368 \h </w:instrText>
        </w:r>
        <w:r w:rsidR="00DE0106">
          <w:rPr>
            <w:noProof/>
            <w:webHidden/>
          </w:rPr>
        </w:r>
        <w:r w:rsidR="00DE0106">
          <w:rPr>
            <w:noProof/>
            <w:webHidden/>
          </w:rPr>
          <w:fldChar w:fldCharType="separate"/>
        </w:r>
        <w:r w:rsidR="00DE0106">
          <w:rPr>
            <w:noProof/>
            <w:webHidden/>
          </w:rPr>
          <w:t>46</w:t>
        </w:r>
        <w:r w:rsidR="00DE0106">
          <w:rPr>
            <w:noProof/>
            <w:webHidden/>
          </w:rPr>
          <w:fldChar w:fldCharType="end"/>
        </w:r>
      </w:hyperlink>
    </w:p>
    <w:p w:rsidR="00DE0106" w:rsidRDefault="00AF393C">
      <w:pPr>
        <w:pStyle w:val="TOC1"/>
        <w:tabs>
          <w:tab w:val="right" w:leader="dot" w:pos="7708"/>
        </w:tabs>
        <w:rPr>
          <w:rFonts w:asciiTheme="minorHAnsi" w:eastAsiaTheme="minorEastAsia" w:hAnsiTheme="minorHAnsi" w:cstheme="minorBidi"/>
          <w:noProof/>
          <w:sz w:val="22"/>
          <w:szCs w:val="22"/>
          <w:lang w:eastAsia="en-AU"/>
        </w:rPr>
      </w:pPr>
      <w:hyperlink w:anchor="_Toc532322369" w:history="1">
        <w:r w:rsidR="00DE0106" w:rsidRPr="0026341F">
          <w:rPr>
            <w:rStyle w:val="Hyperlink"/>
            <w:noProof/>
          </w:rPr>
          <w:t>Appendix 1</w:t>
        </w:r>
        <w:r w:rsidR="00DE0106">
          <w:rPr>
            <w:noProof/>
            <w:webHidden/>
          </w:rPr>
          <w:tab/>
        </w:r>
        <w:r w:rsidR="00DE0106">
          <w:rPr>
            <w:noProof/>
            <w:webHidden/>
          </w:rPr>
          <w:fldChar w:fldCharType="begin"/>
        </w:r>
        <w:r w:rsidR="00DE0106">
          <w:rPr>
            <w:noProof/>
            <w:webHidden/>
          </w:rPr>
          <w:instrText xml:space="preserve"> PAGEREF _Toc532322369 \h </w:instrText>
        </w:r>
        <w:r w:rsidR="00DE0106">
          <w:rPr>
            <w:noProof/>
            <w:webHidden/>
          </w:rPr>
        </w:r>
        <w:r w:rsidR="00DE0106">
          <w:rPr>
            <w:noProof/>
            <w:webHidden/>
          </w:rPr>
          <w:fldChar w:fldCharType="separate"/>
        </w:r>
        <w:r w:rsidR="00DE0106">
          <w:rPr>
            <w:noProof/>
            <w:webHidden/>
          </w:rPr>
          <w:t>56</w:t>
        </w:r>
        <w:r w:rsidR="00DE0106">
          <w:rPr>
            <w:noProof/>
            <w:webHidden/>
          </w:rPr>
          <w:fldChar w:fldCharType="end"/>
        </w:r>
      </w:hyperlink>
    </w:p>
    <w:p w:rsidR="00DE0106" w:rsidRDefault="00AF393C">
      <w:pPr>
        <w:pStyle w:val="TOC1"/>
        <w:tabs>
          <w:tab w:val="right" w:leader="dot" w:pos="7708"/>
        </w:tabs>
        <w:rPr>
          <w:rFonts w:asciiTheme="minorHAnsi" w:eastAsiaTheme="minorEastAsia" w:hAnsiTheme="minorHAnsi" w:cstheme="minorBidi"/>
          <w:noProof/>
          <w:sz w:val="22"/>
          <w:szCs w:val="22"/>
          <w:lang w:eastAsia="en-AU"/>
        </w:rPr>
      </w:pPr>
      <w:hyperlink w:anchor="_Toc532322370" w:history="1">
        <w:r w:rsidR="00DE0106" w:rsidRPr="0026341F">
          <w:rPr>
            <w:rStyle w:val="Hyperlink"/>
            <w:noProof/>
          </w:rPr>
          <w:t>Appendix 2</w:t>
        </w:r>
        <w:r w:rsidR="00DE0106">
          <w:rPr>
            <w:noProof/>
            <w:webHidden/>
          </w:rPr>
          <w:tab/>
        </w:r>
        <w:r w:rsidR="00DE0106">
          <w:rPr>
            <w:noProof/>
            <w:webHidden/>
          </w:rPr>
          <w:fldChar w:fldCharType="begin"/>
        </w:r>
        <w:r w:rsidR="00DE0106">
          <w:rPr>
            <w:noProof/>
            <w:webHidden/>
          </w:rPr>
          <w:instrText xml:space="preserve"> PAGEREF _Toc532322370 \h </w:instrText>
        </w:r>
        <w:r w:rsidR="00DE0106">
          <w:rPr>
            <w:noProof/>
            <w:webHidden/>
          </w:rPr>
        </w:r>
        <w:r w:rsidR="00DE0106">
          <w:rPr>
            <w:noProof/>
            <w:webHidden/>
          </w:rPr>
          <w:fldChar w:fldCharType="separate"/>
        </w:r>
        <w:r w:rsidR="00DE0106">
          <w:rPr>
            <w:noProof/>
            <w:webHidden/>
          </w:rPr>
          <w:t>58</w:t>
        </w:r>
        <w:r w:rsidR="00DE0106">
          <w:rPr>
            <w:noProof/>
            <w:webHidden/>
          </w:rPr>
          <w:fldChar w:fldCharType="end"/>
        </w:r>
      </w:hyperlink>
    </w:p>
    <w:p w:rsidR="00DE0106" w:rsidRDefault="00AF393C">
      <w:pPr>
        <w:pStyle w:val="TOC1"/>
        <w:tabs>
          <w:tab w:val="right" w:leader="dot" w:pos="7708"/>
        </w:tabs>
        <w:rPr>
          <w:rFonts w:asciiTheme="minorHAnsi" w:eastAsiaTheme="minorEastAsia" w:hAnsiTheme="minorHAnsi" w:cstheme="minorBidi"/>
          <w:noProof/>
          <w:sz w:val="22"/>
          <w:szCs w:val="22"/>
          <w:lang w:eastAsia="en-AU"/>
        </w:rPr>
      </w:pPr>
      <w:hyperlink w:anchor="_Toc532322371" w:history="1">
        <w:r w:rsidR="00DE0106" w:rsidRPr="0026341F">
          <w:rPr>
            <w:rStyle w:val="Hyperlink"/>
            <w:noProof/>
          </w:rPr>
          <w:t>Appendix 3</w:t>
        </w:r>
        <w:r w:rsidR="00DE0106">
          <w:rPr>
            <w:noProof/>
            <w:webHidden/>
          </w:rPr>
          <w:tab/>
        </w:r>
        <w:r w:rsidR="00DE0106">
          <w:rPr>
            <w:noProof/>
            <w:webHidden/>
          </w:rPr>
          <w:fldChar w:fldCharType="begin"/>
        </w:r>
        <w:r w:rsidR="00DE0106">
          <w:rPr>
            <w:noProof/>
            <w:webHidden/>
          </w:rPr>
          <w:instrText xml:space="preserve"> PAGEREF _Toc532322371 \h </w:instrText>
        </w:r>
        <w:r w:rsidR="00DE0106">
          <w:rPr>
            <w:noProof/>
            <w:webHidden/>
          </w:rPr>
        </w:r>
        <w:r w:rsidR="00DE0106">
          <w:rPr>
            <w:noProof/>
            <w:webHidden/>
          </w:rPr>
          <w:fldChar w:fldCharType="separate"/>
        </w:r>
        <w:r w:rsidR="00DE0106">
          <w:rPr>
            <w:noProof/>
            <w:webHidden/>
          </w:rPr>
          <w:t>59</w:t>
        </w:r>
        <w:r w:rsidR="00DE0106">
          <w:rPr>
            <w:noProof/>
            <w:webHidden/>
          </w:rPr>
          <w:fldChar w:fldCharType="end"/>
        </w:r>
      </w:hyperlink>
    </w:p>
    <w:p w:rsidR="00DE0106" w:rsidRDefault="00AF393C">
      <w:pPr>
        <w:pStyle w:val="TOC1"/>
        <w:tabs>
          <w:tab w:val="right" w:leader="dot" w:pos="7708"/>
        </w:tabs>
        <w:rPr>
          <w:rFonts w:asciiTheme="minorHAnsi" w:eastAsiaTheme="minorEastAsia" w:hAnsiTheme="minorHAnsi" w:cstheme="minorBidi"/>
          <w:noProof/>
          <w:sz w:val="22"/>
          <w:szCs w:val="22"/>
          <w:lang w:eastAsia="en-AU"/>
        </w:rPr>
      </w:pPr>
      <w:hyperlink w:anchor="_Toc532322372" w:history="1">
        <w:r w:rsidR="00DE0106" w:rsidRPr="0026341F">
          <w:rPr>
            <w:rStyle w:val="Hyperlink"/>
            <w:noProof/>
          </w:rPr>
          <w:t>Appendix 4</w:t>
        </w:r>
        <w:r w:rsidR="00DE0106">
          <w:rPr>
            <w:noProof/>
            <w:webHidden/>
          </w:rPr>
          <w:tab/>
        </w:r>
        <w:r w:rsidR="00DE0106">
          <w:rPr>
            <w:noProof/>
            <w:webHidden/>
          </w:rPr>
          <w:fldChar w:fldCharType="begin"/>
        </w:r>
        <w:r w:rsidR="00DE0106">
          <w:rPr>
            <w:noProof/>
            <w:webHidden/>
          </w:rPr>
          <w:instrText xml:space="preserve"> PAGEREF _Toc532322372 \h </w:instrText>
        </w:r>
        <w:r w:rsidR="00DE0106">
          <w:rPr>
            <w:noProof/>
            <w:webHidden/>
          </w:rPr>
        </w:r>
        <w:r w:rsidR="00DE0106">
          <w:rPr>
            <w:noProof/>
            <w:webHidden/>
          </w:rPr>
          <w:fldChar w:fldCharType="separate"/>
        </w:r>
        <w:r w:rsidR="00DE0106">
          <w:rPr>
            <w:noProof/>
            <w:webHidden/>
          </w:rPr>
          <w:t>61</w:t>
        </w:r>
        <w:r w:rsidR="00DE0106">
          <w:rPr>
            <w:noProof/>
            <w:webHidden/>
          </w:rPr>
          <w:fldChar w:fldCharType="end"/>
        </w:r>
      </w:hyperlink>
    </w:p>
    <w:p w:rsidR="00DE0106" w:rsidRDefault="00AF393C">
      <w:pPr>
        <w:pStyle w:val="TOC1"/>
        <w:tabs>
          <w:tab w:val="right" w:leader="dot" w:pos="7708"/>
        </w:tabs>
        <w:rPr>
          <w:rFonts w:asciiTheme="minorHAnsi" w:eastAsiaTheme="minorEastAsia" w:hAnsiTheme="minorHAnsi" w:cstheme="minorBidi"/>
          <w:noProof/>
          <w:sz w:val="22"/>
          <w:szCs w:val="22"/>
          <w:lang w:eastAsia="en-AU"/>
        </w:rPr>
      </w:pPr>
      <w:hyperlink w:anchor="_Toc532322373" w:history="1">
        <w:r w:rsidR="00DE0106" w:rsidRPr="0026341F">
          <w:rPr>
            <w:rStyle w:val="Hyperlink"/>
            <w:noProof/>
          </w:rPr>
          <w:t>Appendix 5</w:t>
        </w:r>
        <w:r w:rsidR="00DE0106">
          <w:rPr>
            <w:noProof/>
            <w:webHidden/>
          </w:rPr>
          <w:tab/>
        </w:r>
        <w:r w:rsidR="00DE0106">
          <w:rPr>
            <w:noProof/>
            <w:webHidden/>
          </w:rPr>
          <w:fldChar w:fldCharType="begin"/>
        </w:r>
        <w:r w:rsidR="00DE0106">
          <w:rPr>
            <w:noProof/>
            <w:webHidden/>
          </w:rPr>
          <w:instrText xml:space="preserve"> PAGEREF _Toc532322373 \h </w:instrText>
        </w:r>
        <w:r w:rsidR="00DE0106">
          <w:rPr>
            <w:noProof/>
            <w:webHidden/>
          </w:rPr>
        </w:r>
        <w:r w:rsidR="00DE0106">
          <w:rPr>
            <w:noProof/>
            <w:webHidden/>
          </w:rPr>
          <w:fldChar w:fldCharType="separate"/>
        </w:r>
        <w:r w:rsidR="00DE0106">
          <w:rPr>
            <w:noProof/>
            <w:webHidden/>
          </w:rPr>
          <w:t>67</w:t>
        </w:r>
        <w:r w:rsidR="00DE0106">
          <w:rPr>
            <w:noProof/>
            <w:webHidden/>
          </w:rPr>
          <w:fldChar w:fldCharType="end"/>
        </w:r>
      </w:hyperlink>
    </w:p>
    <w:p w:rsidR="00DE0106" w:rsidRDefault="00AF393C">
      <w:pPr>
        <w:pStyle w:val="TOC1"/>
        <w:tabs>
          <w:tab w:val="right" w:leader="dot" w:pos="7708"/>
        </w:tabs>
        <w:rPr>
          <w:rFonts w:asciiTheme="minorHAnsi" w:eastAsiaTheme="minorEastAsia" w:hAnsiTheme="minorHAnsi" w:cstheme="minorBidi"/>
          <w:noProof/>
          <w:sz w:val="22"/>
          <w:szCs w:val="22"/>
          <w:lang w:eastAsia="en-AU"/>
        </w:rPr>
      </w:pPr>
      <w:hyperlink w:anchor="_Toc532322374" w:history="1">
        <w:r w:rsidR="00DE0106" w:rsidRPr="0026341F">
          <w:rPr>
            <w:rStyle w:val="Hyperlink"/>
            <w:noProof/>
          </w:rPr>
          <w:t>Appendix 6</w:t>
        </w:r>
        <w:r w:rsidR="00DE0106">
          <w:rPr>
            <w:noProof/>
            <w:webHidden/>
          </w:rPr>
          <w:tab/>
        </w:r>
        <w:r w:rsidR="00DE0106">
          <w:rPr>
            <w:noProof/>
            <w:webHidden/>
          </w:rPr>
          <w:fldChar w:fldCharType="begin"/>
        </w:r>
        <w:r w:rsidR="00DE0106">
          <w:rPr>
            <w:noProof/>
            <w:webHidden/>
          </w:rPr>
          <w:instrText xml:space="preserve"> PAGEREF _Toc532322374 \h </w:instrText>
        </w:r>
        <w:r w:rsidR="00DE0106">
          <w:rPr>
            <w:noProof/>
            <w:webHidden/>
          </w:rPr>
        </w:r>
        <w:r w:rsidR="00DE0106">
          <w:rPr>
            <w:noProof/>
            <w:webHidden/>
          </w:rPr>
          <w:fldChar w:fldCharType="separate"/>
        </w:r>
        <w:r w:rsidR="00DE0106">
          <w:rPr>
            <w:noProof/>
            <w:webHidden/>
          </w:rPr>
          <w:t>71</w:t>
        </w:r>
        <w:r w:rsidR="00DE0106">
          <w:rPr>
            <w:noProof/>
            <w:webHidden/>
          </w:rPr>
          <w:fldChar w:fldCharType="end"/>
        </w:r>
      </w:hyperlink>
    </w:p>
    <w:p w:rsidR="00DE0106" w:rsidRDefault="00AF393C">
      <w:pPr>
        <w:pStyle w:val="TOC1"/>
        <w:tabs>
          <w:tab w:val="right" w:leader="dot" w:pos="7708"/>
        </w:tabs>
        <w:rPr>
          <w:rFonts w:asciiTheme="minorHAnsi" w:eastAsiaTheme="minorEastAsia" w:hAnsiTheme="minorHAnsi" w:cstheme="minorBidi"/>
          <w:noProof/>
          <w:sz w:val="22"/>
          <w:szCs w:val="22"/>
          <w:lang w:eastAsia="en-AU"/>
        </w:rPr>
      </w:pPr>
      <w:hyperlink w:anchor="_Toc532322375" w:history="1">
        <w:r w:rsidR="00DE0106" w:rsidRPr="0026341F">
          <w:rPr>
            <w:rStyle w:val="Hyperlink"/>
            <w:noProof/>
          </w:rPr>
          <w:t>Appendix 7</w:t>
        </w:r>
        <w:r w:rsidR="00DE0106">
          <w:rPr>
            <w:noProof/>
            <w:webHidden/>
          </w:rPr>
          <w:tab/>
        </w:r>
        <w:r w:rsidR="00DE0106">
          <w:rPr>
            <w:noProof/>
            <w:webHidden/>
          </w:rPr>
          <w:fldChar w:fldCharType="begin"/>
        </w:r>
        <w:r w:rsidR="00DE0106">
          <w:rPr>
            <w:noProof/>
            <w:webHidden/>
          </w:rPr>
          <w:instrText xml:space="preserve"> PAGEREF _Toc532322375 \h </w:instrText>
        </w:r>
        <w:r w:rsidR="00DE0106">
          <w:rPr>
            <w:noProof/>
            <w:webHidden/>
          </w:rPr>
        </w:r>
        <w:r w:rsidR="00DE0106">
          <w:rPr>
            <w:noProof/>
            <w:webHidden/>
          </w:rPr>
          <w:fldChar w:fldCharType="separate"/>
        </w:r>
        <w:r w:rsidR="00DE0106">
          <w:rPr>
            <w:noProof/>
            <w:webHidden/>
          </w:rPr>
          <w:t>74</w:t>
        </w:r>
        <w:r w:rsidR="00DE0106">
          <w:rPr>
            <w:noProof/>
            <w:webHidden/>
          </w:rPr>
          <w:fldChar w:fldCharType="end"/>
        </w:r>
      </w:hyperlink>
    </w:p>
    <w:p w:rsidR="00582023" w:rsidRDefault="00B946AE">
      <w:r>
        <w:fldChar w:fldCharType="end"/>
      </w:r>
    </w:p>
    <w:p w:rsidR="00C97BA4" w:rsidRDefault="000A6181">
      <w:r>
        <w:rPr>
          <w:noProof/>
          <w:lang w:eastAsia="en-AU"/>
        </w:rPr>
        <w:lastRenderedPageBreak/>
        <w:drawing>
          <wp:anchor distT="0" distB="0" distL="114300" distR="114300" simplePos="0" relativeHeight="251658240" behindDoc="0" locked="1" layoutInCell="0" allowOverlap="1">
            <wp:simplePos x="0" y="0"/>
            <wp:positionH relativeFrom="page">
              <wp:posOffset>-19050</wp:posOffset>
            </wp:positionH>
            <wp:positionV relativeFrom="page">
              <wp:posOffset>0</wp:posOffset>
            </wp:positionV>
            <wp:extent cx="6358890" cy="9001125"/>
            <wp:effectExtent l="0" t="0" r="3810" b="9525"/>
            <wp:wrapTopAndBottom/>
            <wp:docPr id="2" name="Picture 2" descr="Half-title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P Plus\Docs\DVA\Veterans' Review Board\Annual Report 2017-18\sourcedocs\pg vic pi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8890" cy="9001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6181" w:rsidRDefault="000A6181">
      <w:pPr>
        <w:sectPr w:rsidR="000A6181" w:rsidSect="00FD50D0">
          <w:type w:val="oddPage"/>
          <w:pgSz w:w="9979" w:h="14170" w:code="243"/>
          <w:pgMar w:top="1440" w:right="850" w:bottom="1138" w:left="1411" w:header="576" w:footer="576" w:gutter="0"/>
          <w:pgNumType w:fmt="lowerRoman"/>
          <w:cols w:space="708"/>
          <w:docGrid w:linePitch="360"/>
        </w:sectPr>
      </w:pPr>
    </w:p>
    <w:p w:rsidR="00C97BA4" w:rsidRDefault="00215363">
      <w:r>
        <w:rPr>
          <w:noProof/>
          <w:lang w:eastAsia="en-AU"/>
        </w:rPr>
        <w:lastRenderedPageBreak/>
        <w:drawing>
          <wp:anchor distT="0" distB="0" distL="114300" distR="114300" simplePos="0" relativeHeight="251659264" behindDoc="0" locked="1" layoutInCell="0" allowOverlap="1" wp14:anchorId="2722F0EB" wp14:editId="0281292A">
            <wp:simplePos x="0" y="0"/>
            <wp:positionH relativeFrom="page">
              <wp:posOffset>0</wp:posOffset>
            </wp:positionH>
            <wp:positionV relativeFrom="page">
              <wp:posOffset>571500</wp:posOffset>
            </wp:positionV>
            <wp:extent cx="6345555" cy="7800975"/>
            <wp:effectExtent l="0" t="0" r="0" b="9525"/>
            <wp:wrapTopAndBottom/>
            <wp:docPr id="4" name="Picture 4" descr="Part title image: Part 1 - Principal Member'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P Plus\Docs\DVA\Veterans' Review Board\Annual Report 2017-18\sourcedocs\Part title graphics_Page_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45555" cy="7800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1638" w:rsidRDefault="00131638" w:rsidP="00131638">
      <w:pPr>
        <w:sectPr w:rsidR="00131638" w:rsidSect="000A6181">
          <w:type w:val="oddPage"/>
          <w:pgSz w:w="9979" w:h="14170" w:code="243"/>
          <w:pgMar w:top="1440" w:right="850" w:bottom="1138" w:left="1411" w:header="576" w:footer="576" w:gutter="0"/>
          <w:pgNumType w:start="1"/>
          <w:cols w:space="708"/>
          <w:docGrid w:linePitch="360"/>
        </w:sectPr>
      </w:pPr>
    </w:p>
    <w:p w:rsidR="00A3092F" w:rsidRDefault="00A3092F" w:rsidP="00131638">
      <w:pPr>
        <w:pStyle w:val="Heading1"/>
        <w:spacing w:before="1680"/>
      </w:pPr>
      <w:bookmarkStart w:id="1" w:name="_Toc532322362"/>
      <w:bookmarkStart w:id="2" w:name="TOC_part1"/>
      <w:r w:rsidRPr="00131638">
        <w:rPr>
          <w:rFonts w:cs="HelveticaNeue-Thin"/>
          <w:b w:val="0"/>
          <w:sz w:val="40"/>
          <w:szCs w:val="40"/>
        </w:rPr>
        <w:lastRenderedPageBreak/>
        <w:t xml:space="preserve">Part 1 – </w:t>
      </w:r>
      <w:r w:rsidR="00B946AE" w:rsidRPr="00131638">
        <w:rPr>
          <w:rFonts w:cs="HelveticaNeue-Thin"/>
          <w:b w:val="0"/>
          <w:sz w:val="40"/>
          <w:szCs w:val="40"/>
        </w:rPr>
        <w:br/>
      </w:r>
      <w:r>
        <w:t>Principal Member’s Report</w:t>
      </w:r>
      <w:bookmarkEnd w:id="1"/>
    </w:p>
    <w:p w:rsidR="00A3092F" w:rsidRPr="00B946AE" w:rsidRDefault="00A3092F" w:rsidP="00B946AE">
      <w:pPr>
        <w:autoSpaceDE w:val="0"/>
        <w:autoSpaceDN w:val="0"/>
        <w:adjustRightInd w:val="0"/>
        <w:spacing w:before="120" w:after="120" w:line="240" w:lineRule="auto"/>
        <w:rPr>
          <w:rFonts w:ascii="HelveticaNeue LT 55 Roman" w:hAnsi="HelveticaNeue LT 55 Roman" w:cs="HelveticaNeue-BoldItalic"/>
          <w:b/>
          <w:bCs/>
          <w:i/>
          <w:iCs/>
          <w:szCs w:val="18"/>
        </w:rPr>
      </w:pPr>
      <w:r w:rsidRPr="00B946AE">
        <w:rPr>
          <w:rFonts w:ascii="HelveticaNeue LT 55 Roman" w:hAnsi="HelveticaNeue LT 55 Roman" w:cs="HelveticaNeue-BoldItalic"/>
          <w:b/>
          <w:bCs/>
          <w:i/>
          <w:iCs/>
          <w:szCs w:val="18"/>
        </w:rPr>
        <w:t>“A veteran’s right to be heard”</w:t>
      </w:r>
    </w:p>
    <w:p w:rsidR="00A3092F" w:rsidRDefault="00A3092F" w:rsidP="00131638">
      <w:pPr>
        <w:ind w:right="788"/>
      </w:pPr>
      <w:r>
        <w:t>In my first term as Principal Member</w:t>
      </w:r>
      <w:r w:rsidR="001D1DCA">
        <w:fldChar w:fldCharType="begin"/>
      </w:r>
      <w:r w:rsidR="001D1DCA">
        <w:instrText xml:space="preserve"> XE "</w:instrText>
      </w:r>
      <w:r w:rsidR="001D1DCA" w:rsidRPr="002D7689">
        <w:instrText>Principal Member</w:instrText>
      </w:r>
      <w:r w:rsidR="001D1DCA">
        <w:instrText xml:space="preserve">" \r "TOC_part1" </w:instrText>
      </w:r>
      <w:r w:rsidR="001D1DCA">
        <w:fldChar w:fldCharType="end"/>
      </w:r>
      <w:r>
        <w:t>, I am privileged to be leading the VRB as it continues its transformation journey and commitment to veteran centric reform.</w:t>
      </w:r>
    </w:p>
    <w:p w:rsidR="00A3092F" w:rsidRDefault="00A3092F" w:rsidP="00131638">
      <w:pPr>
        <w:ind w:right="788"/>
      </w:pPr>
      <w:r>
        <w:t>In 2017–18, the VRB saw a steady uptake of matters coming before it for review. During this period, 2923 applications for review were lodged; the highest number since 2013–14.</w:t>
      </w:r>
    </w:p>
    <w:p w:rsidR="00A3092F" w:rsidRDefault="00A3092F" w:rsidP="00131638">
      <w:pPr>
        <w:ind w:right="788"/>
      </w:pPr>
      <w:r>
        <w:t>Significantly, the VRB’s Alternative Dispute Resolution</w:t>
      </w:r>
      <w:r w:rsidR="00EC32B8">
        <w:fldChar w:fldCharType="begin"/>
      </w:r>
      <w:r w:rsidR="00EC32B8">
        <w:instrText xml:space="preserve"> XE "</w:instrText>
      </w:r>
      <w:r w:rsidR="00EC32B8" w:rsidRPr="003924C2">
        <w:instrText>alternative dispute resolution</w:instrText>
      </w:r>
      <w:r w:rsidR="00EC32B8">
        <w:instrText xml:space="preserve">" </w:instrText>
      </w:r>
      <w:r w:rsidR="00EC32B8">
        <w:fldChar w:fldCharType="end"/>
      </w:r>
      <w:r>
        <w:t xml:space="preserve"> (ADR) program has now been rolled-out to all VRB locations in Australia, with the exception of Queensland, where it will be introduced following the implementation of the VRB’s new case management system.</w:t>
      </w:r>
    </w:p>
    <w:p w:rsidR="00A3092F" w:rsidRDefault="00A3092F" w:rsidP="00131638">
      <w:pPr>
        <w:ind w:right="788"/>
      </w:pPr>
      <w:r>
        <w:t>The results of the VRB’s ADR program are impressive. During 2017–18, 82.6% of cases referred to an ADR process were finalised without the need for a hearing on average in 4.5 months. In addition, ADR played a vital role in assisting the VRB to reduce the average time taken to finalise applications</w:t>
      </w:r>
      <w:r w:rsidR="00EC32B8">
        <w:fldChar w:fldCharType="begin"/>
      </w:r>
      <w:r w:rsidR="00EC32B8">
        <w:instrText xml:space="preserve"> XE "</w:instrText>
      </w:r>
      <w:r w:rsidR="00EC32B8" w:rsidRPr="001615F3">
        <w:instrText>applications:finalised</w:instrText>
      </w:r>
      <w:r w:rsidR="00EC32B8">
        <w:instrText xml:space="preserve">" \r "TOC_part1" </w:instrText>
      </w:r>
      <w:r w:rsidR="00EC32B8">
        <w:fldChar w:fldCharType="end"/>
      </w:r>
      <w:r>
        <w:t xml:space="preserve"> by 5.5% during the financial year.</w:t>
      </w:r>
    </w:p>
    <w:p w:rsidR="00A3092F" w:rsidRDefault="00A3092F" w:rsidP="00131638">
      <w:pPr>
        <w:ind w:right="788"/>
      </w:pPr>
      <w:r>
        <w:t>The VRB continues to be agile and responsive, making use of its diverse and flexible range of ADR mechanisms, each aimed at assisting veterans in the efficient resolution of their applications, and enabling them to have more control over the outcomes. The learnings of ADR have also been brought into VRB hearings, with the launch of an oral reasons</w:t>
      </w:r>
      <w:r w:rsidR="001D1DCA">
        <w:fldChar w:fldCharType="begin"/>
      </w:r>
      <w:r w:rsidR="001D1DCA">
        <w:instrText xml:space="preserve"> XE "</w:instrText>
      </w:r>
      <w:r w:rsidR="001D1DCA" w:rsidRPr="002D7689">
        <w:instrText>reasons</w:instrText>
      </w:r>
      <w:r w:rsidR="001D1DCA">
        <w:instrText xml:space="preserve">" </w:instrText>
      </w:r>
      <w:r w:rsidR="001D1DCA">
        <w:fldChar w:fldCharType="end"/>
      </w:r>
      <w:r>
        <w:t xml:space="preserve"> trial in mid-2018. The trial encourages VRB members to give their decision and reasons on the day of a veteran’s hearing; thereby streamlining the review process and delivering results to veterans quickly and informally.</w:t>
      </w:r>
    </w:p>
    <w:p w:rsidR="00A3092F" w:rsidRDefault="00A3092F" w:rsidP="00131638">
      <w:pPr>
        <w:ind w:right="788"/>
      </w:pPr>
      <w:r>
        <w:t>In 2017-18, the VRB was an active participant in various external reviews regarding the system of veterans’ entitlements and compensation, and the future and direction of veterans’ advocacy and support services. As part of its contribution to this latter review, the VRB has welcomed and encouraged the observation of VRB ADR events as well as hearings before 3-member panels.</w:t>
      </w:r>
    </w:p>
    <w:p w:rsidR="00215363" w:rsidRDefault="00A3092F" w:rsidP="00131638">
      <w:pPr>
        <w:ind w:right="788"/>
      </w:pPr>
      <w:r>
        <w:t>The VRB continues to maintain positive and constructive relationships with the veteran and ex-service communities. A series of advocates’ forums were held over the financial year, providing opportunities for close and continuing dialogue with those representing veterans in their appeals.</w:t>
      </w:r>
    </w:p>
    <w:p w:rsidR="004050B5" w:rsidRDefault="004050B5" w:rsidP="007F2C63">
      <w:pPr>
        <w:keepNext/>
      </w:pPr>
    </w:p>
    <w:p w:rsidR="004050B5" w:rsidRDefault="004050B5" w:rsidP="00131638">
      <w:pPr>
        <w:keepNext/>
        <w:keepLines/>
        <w:spacing w:before="1680"/>
        <w:ind w:right="792"/>
      </w:pPr>
      <w:r>
        <w:t>As well, the VRB has been working closely with the Department of Veterans’ Affairs. The Department’s support for VRB projects and initiatives has enabled the VRB to trial and collaborate on new reforms aimed at improving its services for veterans and all of the VRB’s users.</w:t>
      </w:r>
    </w:p>
    <w:p w:rsidR="004050B5" w:rsidRDefault="004050B5" w:rsidP="00131638">
      <w:pPr>
        <w:ind w:right="792"/>
      </w:pPr>
      <w:r>
        <w:t>I look forward to reporting on the VRB’s operations next year, which will see the VRB continue on its pathway of reform. Further significant achievements are anticipated, including the full roll-out of the VRB’s ADR program across Australia, and the implementation of a new case management system with an online lodgement system to enable veterans and advocates to easily and quickly upload documents and check on the status of their appeals.</w:t>
      </w:r>
    </w:p>
    <w:p w:rsidR="004050B5" w:rsidRDefault="004050B5" w:rsidP="00131638">
      <w:pPr>
        <w:ind w:right="792"/>
      </w:pPr>
      <w:r>
        <w:t>The VRB’s continuing success is made possible by the work and efforts of its staff and members throughout Australia. Their ability to embrace change and be part of the VRB’s transformation speaks to their dedication and commitment to the interests of veterans and the value of modern and responsive merits review.</w:t>
      </w:r>
    </w:p>
    <w:p w:rsidR="004050B5" w:rsidRDefault="004050B5" w:rsidP="004050B5"/>
    <w:p w:rsidR="004050B5" w:rsidRDefault="004050B5" w:rsidP="004050B5"/>
    <w:p w:rsidR="004050B5" w:rsidRDefault="004050B5" w:rsidP="004050B5"/>
    <w:p w:rsidR="00A3092F" w:rsidRDefault="004050B5" w:rsidP="004050B5">
      <w:r>
        <w:t>Jane Anderson</w:t>
      </w:r>
      <w:r>
        <w:br/>
        <w:t>Principal Member</w:t>
      </w:r>
      <w:r>
        <w:br/>
        <w:t>Veterans’ Review Board</w:t>
      </w:r>
    </w:p>
    <w:bookmarkEnd w:id="2"/>
    <w:p w:rsidR="007F2C63" w:rsidRDefault="007F2C63" w:rsidP="004050B5"/>
    <w:p w:rsidR="004401A2" w:rsidRDefault="004401A2" w:rsidP="004050B5">
      <w:pPr>
        <w:sectPr w:rsidR="004401A2" w:rsidSect="00131638">
          <w:pgSz w:w="9979" w:h="14170" w:code="243"/>
          <w:pgMar w:top="1440" w:right="850" w:bottom="1138" w:left="1411" w:header="576" w:footer="576" w:gutter="0"/>
          <w:cols w:space="708"/>
          <w:docGrid w:linePitch="360"/>
        </w:sectPr>
      </w:pPr>
    </w:p>
    <w:p w:rsidR="004401A2" w:rsidRDefault="004401A2" w:rsidP="004050B5">
      <w:r>
        <w:rPr>
          <w:noProof/>
          <w:lang w:eastAsia="en-AU"/>
        </w:rPr>
        <w:lastRenderedPageBreak/>
        <w:drawing>
          <wp:anchor distT="0" distB="0" distL="114300" distR="114300" simplePos="0" relativeHeight="251660288" behindDoc="0" locked="1" layoutInCell="0" allowOverlap="1">
            <wp:simplePos x="0" y="0"/>
            <wp:positionH relativeFrom="page">
              <wp:posOffset>0</wp:posOffset>
            </wp:positionH>
            <wp:positionV relativeFrom="page">
              <wp:posOffset>571500</wp:posOffset>
            </wp:positionV>
            <wp:extent cx="6334125" cy="7766685"/>
            <wp:effectExtent l="0" t="0" r="9525" b="5715"/>
            <wp:wrapTopAndBottom/>
            <wp:docPr id="6" name="Picture 6" descr="Part title image: Part 2 - The role of the V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P Plus\Docs\DVA\Veterans' Review Board\Annual Report 2017-18\sourcedocs\Part title graphics_Page_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34125" cy="77666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6F81" w:rsidRDefault="009D6F81" w:rsidP="00B223B4">
      <w:pPr>
        <w:pStyle w:val="Heading1"/>
      </w:pPr>
      <w:bookmarkStart w:id="3" w:name="here"/>
      <w:bookmarkStart w:id="4" w:name="_Toc532322363"/>
      <w:bookmarkEnd w:id="3"/>
      <w:r w:rsidRPr="00B223B4">
        <w:rPr>
          <w:b w:val="0"/>
          <w:sz w:val="40"/>
          <w:szCs w:val="40"/>
        </w:rPr>
        <w:lastRenderedPageBreak/>
        <w:t>Part 2 –</w:t>
      </w:r>
      <w:r w:rsidR="00B223B4" w:rsidRPr="00B223B4">
        <w:rPr>
          <w:b w:val="0"/>
          <w:sz w:val="40"/>
          <w:szCs w:val="40"/>
        </w:rPr>
        <w:br/>
      </w:r>
      <w:r>
        <w:t>The role of the VRB</w:t>
      </w:r>
      <w:bookmarkEnd w:id="4"/>
    </w:p>
    <w:p w:rsidR="009D6F81" w:rsidRDefault="009D6F81" w:rsidP="009D6F81">
      <w:r>
        <w:t>The Veterans’ Review Board (VRB) is a statutory body whose role is to provide independent merits review.</w:t>
      </w:r>
    </w:p>
    <w:p w:rsidR="009D6F81" w:rsidRDefault="009D6F81" w:rsidP="009D6F81">
      <w:r>
        <w:t>The VRB is not a court, but a specialist high volume tribunal. Merits review means the VRB makes a fresh decision that it considers is the correct or preferable decision in all the circumstances. In doing so, the VRB exercises the same statutory powers</w:t>
      </w:r>
      <w:r w:rsidR="001D1DCA">
        <w:fldChar w:fldCharType="begin"/>
      </w:r>
      <w:r w:rsidR="001D1DCA">
        <w:instrText xml:space="preserve"> XE "</w:instrText>
      </w:r>
      <w:r w:rsidR="001D1DCA" w:rsidRPr="003924C2">
        <w:instrText>powers</w:instrText>
      </w:r>
      <w:r w:rsidR="001D1DCA">
        <w:instrText xml:space="preserve">" </w:instrText>
      </w:r>
      <w:r w:rsidR="001D1DCA">
        <w:fldChar w:fldCharType="end"/>
      </w:r>
      <w:r>
        <w:t>, and is subject to the same limitations, as the decision-maker whose decision it is reviewing.</w:t>
      </w:r>
    </w:p>
    <w:p w:rsidR="009D6F81" w:rsidRDefault="009D6F81" w:rsidP="009D6F81">
      <w:r>
        <w:t xml:space="preserve">Pursuant to section 133A of the </w:t>
      </w:r>
      <w:r w:rsidRPr="009D6F81">
        <w:rPr>
          <w:i/>
        </w:rPr>
        <w:t>Veterans’ Entitlements Act 1986</w:t>
      </w:r>
      <w:r>
        <w:rPr>
          <w:rFonts w:ascii="HelveticaNeueLTStd-LtIt" w:hAnsi="HelveticaNeueLTStd-LtIt" w:cs="HelveticaNeueLTStd-LtIt"/>
          <w:i/>
          <w:iCs/>
        </w:rPr>
        <w:t xml:space="preserve"> </w:t>
      </w:r>
      <w:r>
        <w:t>(VEA) the VRB aims to conduct merits review in a manner that is fair, just, economical, informal and quick.</w:t>
      </w:r>
    </w:p>
    <w:p w:rsidR="009D6F81" w:rsidRDefault="009D6F81" w:rsidP="009D6F81">
      <w:r w:rsidRPr="009D6F81">
        <w:t>The VRB was established by the</w:t>
      </w:r>
      <w:r>
        <w:rPr>
          <w:rFonts w:ascii="HelveticaNeue-Light" w:hAnsi="HelveticaNeue-Light" w:cs="HelveticaNeue-Light"/>
        </w:rPr>
        <w:t xml:space="preserve"> </w:t>
      </w:r>
      <w:r w:rsidRPr="009D6F81">
        <w:rPr>
          <w:i/>
        </w:rPr>
        <w:t>Repatriation Legislation Amendment Act 1984</w:t>
      </w:r>
      <w:r w:rsidRPr="009D6F81">
        <w:t xml:space="preserve"> and began</w:t>
      </w:r>
      <w:r>
        <w:t xml:space="preserve"> operations on 1 January 1985. It was continued in existence by the </w:t>
      </w:r>
      <w:r w:rsidRPr="009D6F81">
        <w:t>VEA</w:t>
      </w:r>
      <w:r>
        <w:rPr>
          <w:rFonts w:ascii="HelveticaNeueLTStd-LtIt" w:hAnsi="HelveticaNeueLTStd-LtIt" w:cs="HelveticaNeueLTStd-LtIt"/>
          <w:i/>
          <w:iCs/>
        </w:rPr>
        <w:t xml:space="preserve"> </w:t>
      </w:r>
      <w:r>
        <w:t>which came into effect on 22 May 1986. Since then the VRB’s operations have been governed by the VEA.</w:t>
      </w:r>
    </w:p>
    <w:p w:rsidR="009D6F81" w:rsidRDefault="009D6F81" w:rsidP="009D6F81">
      <w:pPr>
        <w:rPr>
          <w:rFonts w:ascii="HelveticaNeue-Light" w:hAnsi="HelveticaNeue-Light" w:cs="HelveticaNeue-Light"/>
        </w:rPr>
      </w:pPr>
      <w:r>
        <w:t>In conferring additional jurisdiction</w:t>
      </w:r>
      <w:r w:rsidR="00C202FD">
        <w:fldChar w:fldCharType="begin"/>
      </w:r>
      <w:r w:rsidR="00C202FD">
        <w:instrText xml:space="preserve"> XE "</w:instrText>
      </w:r>
      <w:r w:rsidR="00C202FD" w:rsidRPr="003924C2">
        <w:instrText>jurisdiction</w:instrText>
      </w:r>
      <w:r w:rsidR="00C202FD">
        <w:instrText xml:space="preserve">" </w:instrText>
      </w:r>
      <w:r w:rsidR="00C202FD">
        <w:fldChar w:fldCharType="end"/>
      </w:r>
      <w:r>
        <w:t xml:space="preserve"> on the VRB, the </w:t>
      </w:r>
      <w:r w:rsidRPr="009D6F81">
        <w:rPr>
          <w:i/>
        </w:rPr>
        <w:t>Military Rehabilitation and Compensation Act 2004</w:t>
      </w:r>
      <w:r>
        <w:rPr>
          <w:rFonts w:ascii="HelveticaNeueLTStd-LtIt" w:hAnsi="HelveticaNeueLTStd-LtIt" w:cs="HelveticaNeueLTStd-LtIt"/>
          <w:i/>
          <w:iCs/>
        </w:rPr>
        <w:t xml:space="preserve"> </w:t>
      </w:r>
      <w:r>
        <w:t xml:space="preserve">(the MRCA) applies provisions of the VEA with some modifications. This means that the </w:t>
      </w:r>
      <w:r w:rsidRPr="009D6F81">
        <w:t>VRB operates under the VEA, as modified, when deciding matters</w:t>
      </w:r>
      <w:r w:rsidR="00660120">
        <w:fldChar w:fldCharType="begin"/>
      </w:r>
      <w:r w:rsidR="00660120">
        <w:instrText xml:space="preserve"> XE "</w:instrText>
      </w:r>
      <w:r w:rsidR="00660120" w:rsidRPr="003924C2">
        <w:instrText>matters decided</w:instrText>
      </w:r>
      <w:r w:rsidR="00660120">
        <w:instrText xml:space="preserve">" </w:instrText>
      </w:r>
      <w:r w:rsidR="00660120">
        <w:fldChar w:fldCharType="end"/>
      </w:r>
      <w:r w:rsidRPr="009D6F81">
        <w:t xml:space="preserve"> under the MRCA or</w:t>
      </w:r>
      <w:r>
        <w:rPr>
          <w:rFonts w:ascii="HelveticaNeue-Light" w:hAnsi="HelveticaNeue-Light" w:cs="HelveticaNeue-Light"/>
        </w:rPr>
        <w:t xml:space="preserve"> </w:t>
      </w:r>
      <w:r>
        <w:t xml:space="preserve">the </w:t>
      </w:r>
      <w:r w:rsidRPr="009D6F81">
        <w:rPr>
          <w:i/>
        </w:rPr>
        <w:t>Military Rehabilitation and Compensation (Consequential and Transitional Provisions) Act 2004</w:t>
      </w:r>
      <w:r>
        <w:rPr>
          <w:rFonts w:ascii="HelveticaNeue-Light" w:hAnsi="HelveticaNeue-Light" w:cs="HelveticaNeue-Light"/>
        </w:rPr>
        <w:t>.</w:t>
      </w:r>
    </w:p>
    <w:p w:rsidR="009D6F81" w:rsidRDefault="009D6F81" w:rsidP="009D6F81">
      <w:r w:rsidRPr="009D6F81">
        <w:t>The VEA and the MRCA have now been amended by the</w:t>
      </w:r>
      <w:r>
        <w:rPr>
          <w:rFonts w:ascii="HelveticaNeue-Light" w:hAnsi="HelveticaNeue-Light" w:cs="HelveticaNeue-Light"/>
          <w:szCs w:val="18"/>
        </w:rPr>
        <w:t xml:space="preserve"> </w:t>
      </w:r>
      <w:r>
        <w:rPr>
          <w:i/>
          <w:iCs/>
          <w:szCs w:val="18"/>
        </w:rPr>
        <w:t xml:space="preserve">Veterans’ Affairs Legislation Amendment </w:t>
      </w:r>
      <w:r>
        <w:rPr>
          <w:i/>
          <w:iCs/>
        </w:rPr>
        <w:t xml:space="preserve">(Mental Health and Other Measures) Act 2014 </w:t>
      </w:r>
      <w:r>
        <w:t>which received Royal Assent on 30 June 2014. The amendments allowed for a full suite of Alternative Dispute Resolution</w:t>
      </w:r>
      <w:r w:rsidR="00EC32B8">
        <w:fldChar w:fldCharType="begin"/>
      </w:r>
      <w:r w:rsidR="00EC32B8">
        <w:instrText xml:space="preserve"> XE "</w:instrText>
      </w:r>
      <w:r w:rsidR="00EC32B8" w:rsidRPr="003924C2">
        <w:instrText>alternative dispute resolution</w:instrText>
      </w:r>
      <w:r w:rsidR="00EC32B8">
        <w:instrText xml:space="preserve">" </w:instrText>
      </w:r>
      <w:r w:rsidR="00EC32B8">
        <w:fldChar w:fldCharType="end"/>
      </w:r>
      <w:r>
        <w:t xml:space="preserve"> powers as well as improved case management, administrative and business procedures</w:t>
      </w:r>
      <w:r w:rsidR="001D1DCA">
        <w:fldChar w:fldCharType="begin"/>
      </w:r>
      <w:r w:rsidR="001D1DCA">
        <w:instrText xml:space="preserve"> XE "</w:instrText>
      </w:r>
      <w:r w:rsidR="001D1DCA" w:rsidRPr="002D7689">
        <w:instrText>procedures</w:instrText>
      </w:r>
      <w:r w:rsidR="001D1DCA">
        <w:instrText xml:space="preserve">" </w:instrText>
      </w:r>
      <w:r w:rsidR="001D1DCA">
        <w:fldChar w:fldCharType="end"/>
      </w:r>
      <w:r>
        <w:t xml:space="preserve"> for the Board.</w:t>
      </w:r>
    </w:p>
    <w:p w:rsidR="009D6F81" w:rsidRDefault="009D6F81" w:rsidP="009D6F81">
      <w:r>
        <w:t>The VRB has a General Practice Direction in place which sets out the procedure to be adopted for all applications for review before the Board. It is designed to assist the Board in managing cases with the aim that they be finalised</w:t>
      </w:r>
      <w:r w:rsidR="00EC32B8">
        <w:fldChar w:fldCharType="begin"/>
      </w:r>
      <w:r w:rsidR="00EC32B8">
        <w:instrText xml:space="preserve"> XE "</w:instrText>
      </w:r>
      <w:r w:rsidR="00EC32B8" w:rsidRPr="00FE6082">
        <w:instrText>applications:finalised</w:instrText>
      </w:r>
      <w:r w:rsidR="00EC32B8">
        <w:instrText xml:space="preserve">" </w:instrText>
      </w:r>
      <w:r w:rsidR="00EC32B8">
        <w:fldChar w:fldCharType="end"/>
      </w:r>
      <w:r>
        <w:t xml:space="preserve"> within 12 months of lodgement.</w:t>
      </w:r>
    </w:p>
    <w:p w:rsidR="009D6F81" w:rsidRDefault="009D6F81" w:rsidP="009D6F81">
      <w:r>
        <w:t>The VRB is a part of the governmental machinery for the delivery of repatriation benefits to veterans and their dependants, and rehabilitation</w:t>
      </w:r>
      <w:r w:rsidR="001D1DCA">
        <w:fldChar w:fldCharType="begin"/>
      </w:r>
      <w:r w:rsidR="001D1DCA">
        <w:instrText xml:space="preserve"> XE "</w:instrText>
      </w:r>
      <w:r w:rsidR="001D1DCA" w:rsidRPr="002D7689">
        <w:instrText>rehabilitation</w:instrText>
      </w:r>
      <w:r w:rsidR="001D1DCA">
        <w:instrText xml:space="preserve">" </w:instrText>
      </w:r>
      <w:r w:rsidR="001D1DCA">
        <w:fldChar w:fldCharType="end"/>
      </w:r>
      <w:r>
        <w:t xml:space="preserve"> and compensation to members and former members of the Australian Defence Force (ADF) and their dependants. The principal components of the system are:</w:t>
      </w:r>
    </w:p>
    <w:p w:rsidR="009D6F81" w:rsidRDefault="009D6F81" w:rsidP="009D6F81">
      <w:pPr>
        <w:pStyle w:val="Bullet"/>
        <w:spacing w:after="120"/>
      </w:pPr>
      <w:r>
        <w:t>the Department of Veterans’ Affairs</w:t>
      </w:r>
    </w:p>
    <w:p w:rsidR="009D6F81" w:rsidRDefault="009D6F81" w:rsidP="009D6F81">
      <w:pPr>
        <w:pStyle w:val="Bullet"/>
        <w:spacing w:after="120"/>
      </w:pPr>
      <w:r>
        <w:t>the Repatriation Commission</w:t>
      </w:r>
      <w:r w:rsidR="0005789C">
        <w:fldChar w:fldCharType="begin"/>
      </w:r>
      <w:r w:rsidR="0005789C">
        <w:instrText xml:space="preserve"> XE "</w:instrText>
      </w:r>
      <w:r w:rsidR="0005789C" w:rsidRPr="002D7689">
        <w:instrText>Repatriation Commission</w:instrText>
      </w:r>
      <w:r w:rsidR="0005789C">
        <w:instrText xml:space="preserve">" </w:instrText>
      </w:r>
      <w:r w:rsidR="0005789C">
        <w:fldChar w:fldCharType="end"/>
      </w:r>
    </w:p>
    <w:p w:rsidR="009D6F81" w:rsidRDefault="009D6F81" w:rsidP="009D6F81">
      <w:pPr>
        <w:pStyle w:val="Bullet"/>
        <w:spacing w:after="120"/>
      </w:pPr>
      <w:r>
        <w:t>the Military Rehabilitation and Compensation Commission (MRCC)</w:t>
      </w:r>
    </w:p>
    <w:p w:rsidR="009D6F81" w:rsidRDefault="009D6F81" w:rsidP="009D6F81">
      <w:pPr>
        <w:pStyle w:val="Bullet"/>
        <w:spacing w:after="120"/>
      </w:pPr>
      <w:r>
        <w:t>the VRB</w:t>
      </w:r>
    </w:p>
    <w:p w:rsidR="009D6F81" w:rsidRDefault="009D6F81" w:rsidP="009D6F81">
      <w:pPr>
        <w:pStyle w:val="Bullet"/>
      </w:pPr>
      <w:r>
        <w:t>the Administrative Appeals Tribunal.</w:t>
      </w:r>
    </w:p>
    <w:p w:rsidR="004401A2" w:rsidRDefault="009D6F81" w:rsidP="009D6F81">
      <w:r>
        <w:t>Although the VRB comes within the Minister for Veterans’ Affairs</w:t>
      </w:r>
      <w:r w:rsidR="0018474C">
        <w:fldChar w:fldCharType="begin"/>
      </w:r>
      <w:r w:rsidR="0018474C">
        <w:instrText xml:space="preserve"> XE "</w:instrText>
      </w:r>
      <w:r w:rsidR="0018474C" w:rsidRPr="003924C2">
        <w:instrText>Minister for Veterans’ Affairs</w:instrText>
      </w:r>
      <w:r w:rsidR="0018474C">
        <w:instrText xml:space="preserve">" </w:instrText>
      </w:r>
      <w:r w:rsidR="0018474C">
        <w:fldChar w:fldCharType="end"/>
      </w:r>
      <w:r>
        <w:t xml:space="preserve"> portfolio and for administrative purposes is included as a sub-program in the Department of Veterans’ Affairs, it is an independent statutory authority. The Minister has no statutory power of direction over the VRB.</w:t>
      </w:r>
    </w:p>
    <w:p w:rsidR="00ED4410" w:rsidRDefault="00ED4410" w:rsidP="00ED4410">
      <w:pPr>
        <w:pStyle w:val="Heading3"/>
      </w:pPr>
      <w:r>
        <w:lastRenderedPageBreak/>
        <w:t>REVIEWABLE DECISIONS</w:t>
      </w:r>
    </w:p>
    <w:p w:rsidR="004401A2" w:rsidRDefault="00ED4410" w:rsidP="00ED4410">
      <w:r>
        <w:t>The VRB does not have a general power to review decisions made under the VEA or MRCA. As a statutory tribunal it has only those powers</w:t>
      </w:r>
      <w:r w:rsidR="001D1DCA">
        <w:fldChar w:fldCharType="begin"/>
      </w:r>
      <w:r w:rsidR="001D1DCA">
        <w:instrText xml:space="preserve"> XE "</w:instrText>
      </w:r>
      <w:r w:rsidR="001D1DCA" w:rsidRPr="003924C2">
        <w:instrText>powers</w:instrText>
      </w:r>
      <w:r w:rsidR="001D1DCA">
        <w:instrText xml:space="preserve">" </w:instrText>
      </w:r>
      <w:r w:rsidR="001D1DCA">
        <w:fldChar w:fldCharType="end"/>
      </w:r>
      <w:r>
        <w:t xml:space="preserve"> given to it by legislation. The VRB must be able to identify a specific provision that authorises it to make a particular decision or take a particular action. Each decision must relate to a prior decision –the decision under review. The VRB substitutes its own decision for the decision it is reviewing if it thinks the decision should be changed. It makes a new decision in place of the previous decision. In substituting that for the original decision, the VRB may exercise all the powers and discretion that are conferred on the Repatriation Commission</w:t>
      </w:r>
      <w:r w:rsidR="0005789C">
        <w:fldChar w:fldCharType="begin"/>
      </w:r>
      <w:r w:rsidR="0005789C">
        <w:instrText xml:space="preserve"> XE "</w:instrText>
      </w:r>
      <w:r w:rsidR="0005789C" w:rsidRPr="002D7689">
        <w:instrText>Repatriation Commission</w:instrText>
      </w:r>
      <w:r w:rsidR="0005789C">
        <w:instrText xml:space="preserve">" </w:instrText>
      </w:r>
      <w:r w:rsidR="0005789C">
        <w:fldChar w:fldCharType="end"/>
      </w:r>
      <w:r>
        <w:t>, the MRCC or a service chief. The legislative provisions concerning decisions or determinations that the Board has jurisdiction</w:t>
      </w:r>
      <w:r w:rsidR="00C202FD">
        <w:fldChar w:fldCharType="begin"/>
      </w:r>
      <w:r w:rsidR="00C202FD">
        <w:instrText xml:space="preserve"> XE "</w:instrText>
      </w:r>
      <w:r w:rsidR="00C202FD" w:rsidRPr="003924C2">
        <w:instrText>jurisdiction</w:instrText>
      </w:r>
      <w:r w:rsidR="00C202FD">
        <w:instrText xml:space="preserve">" </w:instrText>
      </w:r>
      <w:r w:rsidR="00C202FD">
        <w:fldChar w:fldCharType="end"/>
      </w:r>
      <w:r>
        <w:t xml:space="preserve"> to review are set out below.</w:t>
      </w:r>
    </w:p>
    <w:p w:rsidR="00ED4410" w:rsidRDefault="000D0478" w:rsidP="00120C75">
      <w:pPr>
        <w:pStyle w:val="Heading2"/>
      </w:pPr>
      <w:bookmarkStart w:id="5" w:name="_Toc532322364"/>
      <w:bookmarkStart w:id="6" w:name="TOC_incapacity"/>
      <w:bookmarkStart w:id="7" w:name="TOC_liability2"/>
      <w:bookmarkStart w:id="8" w:name="TOC_impairment"/>
      <w:bookmarkStart w:id="9" w:name="TOC_rehabilitation"/>
      <w:bookmarkStart w:id="10" w:name="TOC_treatment"/>
      <w:r w:rsidRPr="000D0478">
        <w:t>Reviewable decisions under VEA and MRCA</w:t>
      </w:r>
      <w:bookmarkEnd w:id="5"/>
    </w:p>
    <w:tbl>
      <w:tblPr>
        <w:tblStyle w:val="TableGrid"/>
        <w:tblW w:w="5000" w:type="pct"/>
        <w:tblBorders>
          <w:top w:val="single" w:sz="4" w:space="0" w:color="A39892"/>
          <w:left w:val="single" w:sz="4" w:space="0" w:color="A39892"/>
          <w:bottom w:val="single" w:sz="4" w:space="0" w:color="A39892"/>
          <w:right w:val="single" w:sz="4" w:space="0" w:color="A39892"/>
          <w:insideH w:val="single" w:sz="4" w:space="0" w:color="A39892"/>
          <w:insideV w:val="single" w:sz="4" w:space="0" w:color="A39892"/>
        </w:tblBorders>
        <w:shd w:val="clear" w:color="auto" w:fill="C6BDB6"/>
        <w:tblLayout w:type="fixed"/>
        <w:tblCellMar>
          <w:left w:w="115" w:type="dxa"/>
          <w:right w:w="115" w:type="dxa"/>
        </w:tblCellMar>
        <w:tblLook w:val="04A0" w:firstRow="1" w:lastRow="0" w:firstColumn="1" w:lastColumn="0" w:noHBand="0" w:noVBand="1"/>
      </w:tblPr>
      <w:tblGrid>
        <w:gridCol w:w="7948"/>
      </w:tblGrid>
      <w:tr w:rsidR="005D4FF4" w:rsidTr="00D074CA">
        <w:trPr>
          <w:cantSplit/>
        </w:trPr>
        <w:tc>
          <w:tcPr>
            <w:tcW w:w="7948" w:type="dxa"/>
            <w:shd w:val="clear" w:color="auto" w:fill="C6BDB6"/>
          </w:tcPr>
          <w:p w:rsidR="005D4FF4" w:rsidRPr="007556D0" w:rsidRDefault="005D4FF4" w:rsidP="005D4FF4">
            <w:pPr>
              <w:pStyle w:val="TableText"/>
              <w:jc w:val="center"/>
              <w:rPr>
                <w:b/>
                <w:i/>
              </w:rPr>
            </w:pPr>
            <w:r w:rsidRPr="007556D0">
              <w:rPr>
                <w:b/>
                <w:i/>
              </w:rPr>
              <w:t>Veterans’ Entitlements Act 1986</w:t>
            </w:r>
          </w:p>
        </w:tc>
      </w:tr>
    </w:tbl>
    <w:p w:rsidR="00120C75" w:rsidRDefault="00B3338E" w:rsidP="001C59B5">
      <w:pPr>
        <w:keepNext/>
        <w:spacing w:after="0" w:line="240" w:lineRule="auto"/>
      </w:pPr>
      <w:r>
        <w:rPr>
          <w:noProof/>
          <w:lang w:eastAsia="en-AU"/>
        </w:rPr>
        <mc:AlternateContent>
          <mc:Choice Requires="wps">
            <w:drawing>
              <wp:anchor distT="0" distB="0" distL="114300" distR="114300" simplePos="0" relativeHeight="251673600" behindDoc="0" locked="1" layoutInCell="0" allowOverlap="1" wp14:anchorId="05050C01" wp14:editId="2DAA3FEB">
                <wp:simplePos x="0" y="0"/>
                <wp:positionH relativeFrom="column">
                  <wp:posOffset>4168775</wp:posOffset>
                </wp:positionH>
                <wp:positionV relativeFrom="paragraph">
                  <wp:posOffset>5080</wp:posOffset>
                </wp:positionV>
                <wp:extent cx="256032" cy="109728"/>
                <wp:effectExtent l="19050" t="0" r="29845" b="43180"/>
                <wp:wrapNone/>
                <wp:docPr id="11" name="Isosceles Triangle 11"/>
                <wp:cNvGraphicFramePr/>
                <a:graphic xmlns:a="http://schemas.openxmlformats.org/drawingml/2006/main">
                  <a:graphicData uri="http://schemas.microsoft.com/office/word/2010/wordprocessingShape">
                    <wps:wsp>
                      <wps:cNvSpPr/>
                      <wps:spPr>
                        <a:xfrm flipV="1">
                          <a:off x="0" y="0"/>
                          <a:ext cx="256032" cy="109728"/>
                        </a:xfrm>
                        <a:prstGeom prst="triangle">
                          <a:avLst/>
                        </a:prstGeom>
                        <a:solidFill>
                          <a:srgbClr val="A39892"/>
                        </a:solidFill>
                        <a:ln>
                          <a:solidFill>
                            <a:srgbClr val="A39892"/>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 o:spid="_x0000_s1026" type="#_x0000_t5" style="position:absolute;margin-left:328.25pt;margin-top:.4pt;width:20.15pt;height:8.6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" o:allowincell="f" fillcolor="#a39892" strokecolor="#a39892" strokeweight="2pt">
                <w10:anchorlock/>
              </v:shape>
            </w:pict>
          </mc:Fallback>
        </mc:AlternateContent>
      </w:r>
      <w:r>
        <w:rPr>
          <w:noProof/>
          <w:lang w:eastAsia="en-AU"/>
        </w:rPr>
        <mc:AlternateContent>
          <mc:Choice Requires="wps">
            <w:drawing>
              <wp:anchor distT="0" distB="0" distL="114300" distR="114300" simplePos="0" relativeHeight="251671552" behindDoc="0" locked="1" layoutInCell="0" allowOverlap="1" wp14:anchorId="7762F4E2" wp14:editId="2A596C20">
                <wp:simplePos x="0" y="0"/>
                <wp:positionH relativeFrom="column">
                  <wp:posOffset>2367280</wp:posOffset>
                </wp:positionH>
                <wp:positionV relativeFrom="paragraph">
                  <wp:posOffset>5080</wp:posOffset>
                </wp:positionV>
                <wp:extent cx="256032" cy="109728"/>
                <wp:effectExtent l="19050" t="0" r="29845" b="43180"/>
                <wp:wrapNone/>
                <wp:docPr id="10" name="Isosceles Triangle 10"/>
                <wp:cNvGraphicFramePr/>
                <a:graphic xmlns:a="http://schemas.openxmlformats.org/drawingml/2006/main">
                  <a:graphicData uri="http://schemas.microsoft.com/office/word/2010/wordprocessingShape">
                    <wps:wsp>
                      <wps:cNvSpPr/>
                      <wps:spPr>
                        <a:xfrm flipV="1">
                          <a:off x="0" y="0"/>
                          <a:ext cx="256032" cy="109728"/>
                        </a:xfrm>
                        <a:prstGeom prst="triangle">
                          <a:avLst/>
                        </a:prstGeom>
                        <a:solidFill>
                          <a:srgbClr val="A39892"/>
                        </a:solidFill>
                        <a:ln>
                          <a:solidFill>
                            <a:srgbClr val="A39892"/>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10" o:spid="_x0000_s1026" type="#_x0000_t5" style="position:absolute;margin-left:186.4pt;margin-top:.4pt;width:20.15pt;height:8.6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" o:allowincell="f" fillcolor="#a39892" strokecolor="#a39892" strokeweight="2pt">
                <w10:anchorlock/>
              </v:shape>
            </w:pict>
          </mc:Fallback>
        </mc:AlternateContent>
      </w:r>
      <w:r w:rsidR="007556D0">
        <w:rPr>
          <w:noProof/>
          <w:lang w:eastAsia="en-AU"/>
        </w:rPr>
        <mc:AlternateContent>
          <mc:Choice Requires="wps">
            <w:drawing>
              <wp:anchor distT="0" distB="0" distL="114300" distR="114300" simplePos="0" relativeHeight="251661312" behindDoc="0" locked="1" layoutInCell="0" allowOverlap="1" wp14:anchorId="4395E25D" wp14:editId="6819E259">
                <wp:simplePos x="0" y="0"/>
                <wp:positionH relativeFrom="column">
                  <wp:posOffset>459105</wp:posOffset>
                </wp:positionH>
                <wp:positionV relativeFrom="paragraph">
                  <wp:posOffset>5080</wp:posOffset>
                </wp:positionV>
                <wp:extent cx="256032" cy="109728"/>
                <wp:effectExtent l="19050" t="0" r="29845" b="43180"/>
                <wp:wrapNone/>
                <wp:docPr id="1" name="Isosceles Triangle 1"/>
                <wp:cNvGraphicFramePr/>
                <a:graphic xmlns:a="http://schemas.openxmlformats.org/drawingml/2006/main">
                  <a:graphicData uri="http://schemas.microsoft.com/office/word/2010/wordprocessingShape">
                    <wps:wsp>
                      <wps:cNvSpPr/>
                      <wps:spPr>
                        <a:xfrm flipV="1">
                          <a:off x="0" y="0"/>
                          <a:ext cx="256032" cy="109728"/>
                        </a:xfrm>
                        <a:prstGeom prst="triangle">
                          <a:avLst/>
                        </a:prstGeom>
                        <a:solidFill>
                          <a:srgbClr val="A39892"/>
                        </a:solidFill>
                        <a:ln>
                          <a:solidFill>
                            <a:srgbClr val="A39892"/>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1" o:spid="_x0000_s1026" type="#_x0000_t5" style="position:absolute;margin-left:36.15pt;margin-top:.4pt;width:20.15pt;height:8.6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" o:allowincell="f" fillcolor="#a39892" strokecolor="#a39892" strokeweight="2pt">
                <w10:anchorlock/>
              </v:shape>
            </w:pict>
          </mc:Fallback>
        </mc:AlternateContent>
      </w:r>
    </w:p>
    <w:tbl>
      <w:tblPr>
        <w:tblStyle w:val="TableGrid"/>
        <w:tblW w:w="5000" w:type="pct"/>
        <w:tblLayout w:type="fixed"/>
        <w:tblCellMar>
          <w:left w:w="115" w:type="dxa"/>
          <w:right w:w="115" w:type="dxa"/>
        </w:tblCellMar>
        <w:tblLook w:val="04A0" w:firstRow="1" w:lastRow="0" w:firstColumn="1" w:lastColumn="0" w:noHBand="0" w:noVBand="1"/>
      </w:tblPr>
      <w:tblGrid>
        <w:gridCol w:w="2408"/>
        <w:gridCol w:w="361"/>
        <w:gridCol w:w="2409"/>
        <w:gridCol w:w="361"/>
        <w:gridCol w:w="2409"/>
      </w:tblGrid>
      <w:tr w:rsidR="007556D0" w:rsidTr="007556D0">
        <w:trPr>
          <w:cantSplit/>
        </w:trPr>
        <w:tc>
          <w:tcPr>
            <w:tcW w:w="2408" w:type="dxa"/>
            <w:tcBorders>
              <w:top w:val="single" w:sz="4" w:space="0" w:color="A39892"/>
              <w:left w:val="single" w:sz="4" w:space="0" w:color="A39892"/>
              <w:bottom w:val="single" w:sz="4" w:space="0" w:color="A39892"/>
              <w:right w:val="single" w:sz="4" w:space="0" w:color="A39892"/>
            </w:tcBorders>
            <w:shd w:val="clear" w:color="auto" w:fill="F4F0ED"/>
          </w:tcPr>
          <w:p w:rsidR="005D4FF4" w:rsidRDefault="005D4FF4" w:rsidP="005D4FF4">
            <w:pPr>
              <w:pStyle w:val="TableText"/>
              <w:jc w:val="center"/>
            </w:pPr>
            <w:r>
              <w:t>Claim for pension under section 14</w:t>
            </w:r>
          </w:p>
        </w:tc>
        <w:tc>
          <w:tcPr>
            <w:tcW w:w="361" w:type="dxa"/>
            <w:tcBorders>
              <w:top w:val="nil"/>
              <w:left w:val="single" w:sz="4" w:space="0" w:color="A39892"/>
              <w:bottom w:val="nil"/>
              <w:right w:val="single" w:sz="4" w:space="0" w:color="A39892"/>
            </w:tcBorders>
          </w:tcPr>
          <w:p w:rsidR="005D4FF4" w:rsidRDefault="005D4FF4" w:rsidP="005D4FF4">
            <w:pPr>
              <w:pStyle w:val="TableText"/>
            </w:pPr>
          </w:p>
        </w:tc>
        <w:tc>
          <w:tcPr>
            <w:tcW w:w="2409" w:type="dxa"/>
            <w:tcBorders>
              <w:top w:val="single" w:sz="4" w:space="0" w:color="A39892"/>
              <w:left w:val="single" w:sz="4" w:space="0" w:color="A39892"/>
              <w:bottom w:val="single" w:sz="4" w:space="0" w:color="A39892"/>
              <w:right w:val="single" w:sz="4" w:space="0" w:color="A39892"/>
            </w:tcBorders>
            <w:shd w:val="clear" w:color="auto" w:fill="F4F0ED"/>
          </w:tcPr>
          <w:p w:rsidR="005D4FF4" w:rsidRDefault="005D4FF4" w:rsidP="005D4FF4">
            <w:pPr>
              <w:pStyle w:val="TableText"/>
              <w:jc w:val="center"/>
            </w:pPr>
            <w:r>
              <w:t xml:space="preserve">Application for </w:t>
            </w:r>
            <w:r>
              <w:br/>
              <w:t xml:space="preserve">increase in pension </w:t>
            </w:r>
            <w:r>
              <w:br/>
              <w:t>under section 15</w:t>
            </w:r>
          </w:p>
        </w:tc>
        <w:tc>
          <w:tcPr>
            <w:tcW w:w="361" w:type="dxa"/>
            <w:tcBorders>
              <w:top w:val="nil"/>
              <w:left w:val="single" w:sz="4" w:space="0" w:color="A39892"/>
              <w:bottom w:val="nil"/>
              <w:right w:val="single" w:sz="4" w:space="0" w:color="A39892"/>
            </w:tcBorders>
          </w:tcPr>
          <w:p w:rsidR="005D4FF4" w:rsidRDefault="005D4FF4" w:rsidP="005D4FF4">
            <w:pPr>
              <w:pStyle w:val="TableText"/>
            </w:pPr>
          </w:p>
        </w:tc>
        <w:tc>
          <w:tcPr>
            <w:tcW w:w="2409" w:type="dxa"/>
            <w:tcBorders>
              <w:top w:val="single" w:sz="4" w:space="0" w:color="A39892"/>
              <w:left w:val="single" w:sz="4" w:space="0" w:color="A39892"/>
              <w:bottom w:val="single" w:sz="4" w:space="0" w:color="A39892"/>
              <w:right w:val="single" w:sz="4" w:space="0" w:color="A39892"/>
            </w:tcBorders>
            <w:shd w:val="clear" w:color="auto" w:fill="F4F0ED"/>
          </w:tcPr>
          <w:p w:rsidR="005D4FF4" w:rsidRDefault="005D4FF4" w:rsidP="005D4FF4">
            <w:pPr>
              <w:pStyle w:val="TableText"/>
              <w:jc w:val="center"/>
            </w:pPr>
            <w:r>
              <w:t xml:space="preserve">Application for </w:t>
            </w:r>
            <w:r>
              <w:br/>
              <w:t xml:space="preserve">Attendant Allowance </w:t>
            </w:r>
            <w:r>
              <w:br/>
              <w:t>under section 111</w:t>
            </w:r>
          </w:p>
        </w:tc>
      </w:tr>
    </w:tbl>
    <w:p w:rsidR="005D4FF4" w:rsidRDefault="005D4FF4" w:rsidP="001C59B5">
      <w:pPr>
        <w:spacing w:after="0" w:line="240" w:lineRule="auto"/>
      </w:pPr>
    </w:p>
    <w:tbl>
      <w:tblPr>
        <w:tblStyle w:val="TableGrid"/>
        <w:tblW w:w="5000" w:type="pct"/>
        <w:tblBorders>
          <w:top w:val="single" w:sz="4" w:space="0" w:color="A39892"/>
          <w:left w:val="single" w:sz="4" w:space="0" w:color="A39892"/>
          <w:bottom w:val="single" w:sz="4" w:space="0" w:color="A39892"/>
          <w:right w:val="single" w:sz="4" w:space="0" w:color="A39892"/>
          <w:insideH w:val="single" w:sz="4" w:space="0" w:color="A39892"/>
          <w:insideV w:val="single" w:sz="4" w:space="0" w:color="A39892"/>
        </w:tblBorders>
        <w:tblLayout w:type="fixed"/>
        <w:tblCellMar>
          <w:left w:w="115" w:type="dxa"/>
          <w:right w:w="115" w:type="dxa"/>
        </w:tblCellMar>
        <w:tblLook w:val="04A0" w:firstRow="1" w:lastRow="0" w:firstColumn="1" w:lastColumn="0" w:noHBand="0" w:noVBand="1"/>
      </w:tblPr>
      <w:tblGrid>
        <w:gridCol w:w="1542"/>
        <w:gridCol w:w="1543"/>
        <w:gridCol w:w="4863"/>
      </w:tblGrid>
      <w:tr w:rsidR="00717C8E" w:rsidRPr="005D4FF4" w:rsidTr="007556D0">
        <w:trPr>
          <w:cantSplit/>
        </w:trPr>
        <w:tc>
          <w:tcPr>
            <w:tcW w:w="1542" w:type="dxa"/>
            <w:shd w:val="clear" w:color="auto" w:fill="C6BDB6"/>
          </w:tcPr>
          <w:p w:rsidR="00717C8E" w:rsidRPr="005D4FF4" w:rsidRDefault="00717C8E" w:rsidP="001C59B5">
            <w:pPr>
              <w:pStyle w:val="TableText"/>
              <w:spacing w:before="40" w:after="40"/>
              <w:rPr>
                <w:b/>
              </w:rPr>
            </w:pPr>
            <w:r w:rsidRPr="005D4FF4">
              <w:rPr>
                <w:b/>
              </w:rPr>
              <w:t>Section concerning the matter</w:t>
            </w:r>
          </w:p>
        </w:tc>
        <w:tc>
          <w:tcPr>
            <w:tcW w:w="1543" w:type="dxa"/>
            <w:shd w:val="clear" w:color="auto" w:fill="C6BDB6"/>
          </w:tcPr>
          <w:p w:rsidR="00717C8E" w:rsidRPr="005D4FF4" w:rsidRDefault="00717C8E" w:rsidP="001C59B5">
            <w:pPr>
              <w:pStyle w:val="TableText"/>
              <w:spacing w:before="40" w:after="40"/>
              <w:rPr>
                <w:b/>
              </w:rPr>
            </w:pPr>
            <w:r w:rsidRPr="005D4FF4">
              <w:rPr>
                <w:b/>
              </w:rPr>
              <w:t>Section under which determined</w:t>
            </w:r>
          </w:p>
        </w:tc>
        <w:tc>
          <w:tcPr>
            <w:tcW w:w="4863" w:type="dxa"/>
            <w:shd w:val="clear" w:color="auto" w:fill="C6BDB6"/>
          </w:tcPr>
          <w:p w:rsidR="00717C8E" w:rsidRPr="005D4FF4" w:rsidRDefault="00717C8E" w:rsidP="001C59B5">
            <w:pPr>
              <w:pStyle w:val="TableText"/>
              <w:spacing w:before="40" w:after="40"/>
              <w:rPr>
                <w:b/>
              </w:rPr>
            </w:pPr>
            <w:r w:rsidRPr="005D4FF4">
              <w:rPr>
                <w:b/>
              </w:rPr>
              <w:t>Decision</w:t>
            </w:r>
          </w:p>
        </w:tc>
      </w:tr>
      <w:tr w:rsidR="00717C8E" w:rsidTr="007556D0">
        <w:trPr>
          <w:cantSplit/>
        </w:trPr>
        <w:tc>
          <w:tcPr>
            <w:tcW w:w="1542" w:type="dxa"/>
          </w:tcPr>
          <w:p w:rsidR="00717C8E" w:rsidRPr="00717C8E" w:rsidRDefault="00717C8E" w:rsidP="001C59B5">
            <w:pPr>
              <w:pStyle w:val="TableText"/>
              <w:spacing w:before="40" w:after="40"/>
            </w:pPr>
            <w:r w:rsidRPr="00717C8E">
              <w:t>14</w:t>
            </w:r>
          </w:p>
        </w:tc>
        <w:tc>
          <w:tcPr>
            <w:tcW w:w="1543" w:type="dxa"/>
          </w:tcPr>
          <w:p w:rsidR="00717C8E" w:rsidRPr="00717C8E" w:rsidRDefault="00717C8E" w:rsidP="001C59B5">
            <w:pPr>
              <w:pStyle w:val="TableText"/>
              <w:spacing w:before="40" w:after="40"/>
            </w:pPr>
            <w:r w:rsidRPr="00717C8E">
              <w:t>19</w:t>
            </w:r>
          </w:p>
        </w:tc>
        <w:tc>
          <w:tcPr>
            <w:tcW w:w="4863" w:type="dxa"/>
          </w:tcPr>
          <w:p w:rsidR="00717C8E" w:rsidRPr="00717C8E" w:rsidRDefault="00717C8E" w:rsidP="001C59B5">
            <w:pPr>
              <w:pStyle w:val="TableText"/>
              <w:spacing w:before="40" w:after="40"/>
            </w:pPr>
            <w:r w:rsidRPr="00717C8E">
              <w:t>Claim for disability pension for injury or disease</w:t>
            </w:r>
          </w:p>
        </w:tc>
      </w:tr>
      <w:tr w:rsidR="00717C8E" w:rsidTr="007556D0">
        <w:trPr>
          <w:cantSplit/>
        </w:trPr>
        <w:tc>
          <w:tcPr>
            <w:tcW w:w="1542" w:type="dxa"/>
          </w:tcPr>
          <w:p w:rsidR="00717C8E" w:rsidRPr="00717C8E" w:rsidRDefault="00717C8E" w:rsidP="001C59B5">
            <w:pPr>
              <w:pStyle w:val="TableText"/>
              <w:spacing w:before="40" w:after="40"/>
            </w:pPr>
            <w:r w:rsidRPr="00717C8E">
              <w:t>14</w:t>
            </w:r>
          </w:p>
        </w:tc>
        <w:tc>
          <w:tcPr>
            <w:tcW w:w="1543" w:type="dxa"/>
          </w:tcPr>
          <w:p w:rsidR="00717C8E" w:rsidRPr="00717C8E" w:rsidRDefault="00717C8E" w:rsidP="001C59B5">
            <w:pPr>
              <w:pStyle w:val="TableText"/>
              <w:spacing w:before="40" w:after="40"/>
            </w:pPr>
            <w:r w:rsidRPr="00717C8E">
              <w:t>19</w:t>
            </w:r>
          </w:p>
        </w:tc>
        <w:tc>
          <w:tcPr>
            <w:tcW w:w="4863" w:type="dxa"/>
          </w:tcPr>
          <w:p w:rsidR="00717C8E" w:rsidRPr="00717C8E" w:rsidRDefault="00717C8E" w:rsidP="001D1DCA">
            <w:pPr>
              <w:pStyle w:val="TableText"/>
              <w:spacing w:before="40" w:after="40"/>
            </w:pPr>
            <w:r w:rsidRPr="00717C8E">
              <w:t>Claim for war widow(er)</w:t>
            </w:r>
            <w:r w:rsidR="001D1DCA">
              <w:t>’</w:t>
            </w:r>
            <w:r w:rsidRPr="00717C8E">
              <w:t>s or orphan’s pension for death</w:t>
            </w:r>
            <w:r w:rsidR="004A74AE">
              <w:fldChar w:fldCharType="begin"/>
            </w:r>
            <w:r w:rsidR="004A74AE">
              <w:instrText xml:space="preserve"> XE "</w:instrText>
            </w:r>
            <w:r w:rsidR="004A74AE" w:rsidRPr="002D7689">
              <w:instrText>war widow</w:instrText>
            </w:r>
            <w:r w:rsidR="004A74AE">
              <w:instrText xml:space="preserve">" </w:instrText>
            </w:r>
            <w:r w:rsidR="004A74AE">
              <w:fldChar w:fldCharType="end"/>
            </w:r>
          </w:p>
        </w:tc>
      </w:tr>
      <w:tr w:rsidR="00717C8E" w:rsidTr="007556D0">
        <w:trPr>
          <w:cantSplit/>
        </w:trPr>
        <w:tc>
          <w:tcPr>
            <w:tcW w:w="1542" w:type="dxa"/>
          </w:tcPr>
          <w:p w:rsidR="00717C8E" w:rsidRPr="00717C8E" w:rsidRDefault="00717C8E" w:rsidP="001C59B5">
            <w:pPr>
              <w:pStyle w:val="TableText"/>
              <w:spacing w:before="40" w:after="40"/>
            </w:pPr>
            <w:r w:rsidRPr="00717C8E">
              <w:t>15</w:t>
            </w:r>
          </w:p>
        </w:tc>
        <w:tc>
          <w:tcPr>
            <w:tcW w:w="1543" w:type="dxa"/>
          </w:tcPr>
          <w:p w:rsidR="00717C8E" w:rsidRPr="00717C8E" w:rsidRDefault="00717C8E" w:rsidP="001C59B5">
            <w:pPr>
              <w:pStyle w:val="TableText"/>
              <w:spacing w:before="40" w:after="40"/>
            </w:pPr>
            <w:r w:rsidRPr="00717C8E">
              <w:t>19</w:t>
            </w:r>
          </w:p>
        </w:tc>
        <w:tc>
          <w:tcPr>
            <w:tcW w:w="4863" w:type="dxa"/>
          </w:tcPr>
          <w:p w:rsidR="00717C8E" w:rsidRPr="00717C8E" w:rsidRDefault="00717C8E" w:rsidP="001C59B5">
            <w:pPr>
              <w:pStyle w:val="TableText"/>
              <w:spacing w:before="40" w:after="40"/>
            </w:pPr>
            <w:r w:rsidRPr="00717C8E">
              <w:t>Application for increase in disability pension</w:t>
            </w:r>
          </w:p>
        </w:tc>
      </w:tr>
      <w:tr w:rsidR="00717C8E" w:rsidTr="007556D0">
        <w:trPr>
          <w:cantSplit/>
        </w:trPr>
        <w:tc>
          <w:tcPr>
            <w:tcW w:w="1542" w:type="dxa"/>
          </w:tcPr>
          <w:p w:rsidR="00717C8E" w:rsidRPr="00717C8E" w:rsidRDefault="00717C8E" w:rsidP="001C59B5">
            <w:pPr>
              <w:pStyle w:val="TableText"/>
              <w:spacing w:before="40" w:after="40"/>
            </w:pPr>
            <w:r w:rsidRPr="00717C8E">
              <w:t>98, 111</w:t>
            </w:r>
          </w:p>
        </w:tc>
        <w:tc>
          <w:tcPr>
            <w:tcW w:w="1543" w:type="dxa"/>
          </w:tcPr>
          <w:p w:rsidR="00717C8E" w:rsidRPr="00717C8E" w:rsidRDefault="00717C8E" w:rsidP="001C59B5">
            <w:pPr>
              <w:pStyle w:val="TableText"/>
              <w:spacing w:before="40" w:after="40"/>
            </w:pPr>
            <w:r w:rsidRPr="00717C8E">
              <w:t>98</w:t>
            </w:r>
          </w:p>
        </w:tc>
        <w:tc>
          <w:tcPr>
            <w:tcW w:w="4863" w:type="dxa"/>
          </w:tcPr>
          <w:p w:rsidR="00717C8E" w:rsidRPr="00717C8E" w:rsidRDefault="00717C8E" w:rsidP="00EC32B8">
            <w:pPr>
              <w:pStyle w:val="TableText"/>
              <w:spacing w:before="40" w:after="40"/>
            </w:pPr>
            <w:r w:rsidRPr="00717C8E">
              <w:t>Application for Attendant Allowance</w:t>
            </w:r>
            <w:r w:rsidR="00EC32B8">
              <w:fldChar w:fldCharType="begin"/>
            </w:r>
            <w:r w:rsidR="00EC32B8">
              <w:instrText xml:space="preserve"> XE "a</w:instrText>
            </w:r>
            <w:r w:rsidR="00EC32B8" w:rsidRPr="003924C2">
              <w:instrText xml:space="preserve">ttendant </w:instrText>
            </w:r>
            <w:r w:rsidR="00EC32B8">
              <w:instrText>a</w:instrText>
            </w:r>
            <w:r w:rsidR="00EC32B8" w:rsidRPr="003924C2">
              <w:instrText>llowance</w:instrText>
            </w:r>
            <w:r w:rsidR="00EC32B8">
              <w:instrText xml:space="preserve">" </w:instrText>
            </w:r>
            <w:r w:rsidR="00EC32B8">
              <w:fldChar w:fldCharType="end"/>
            </w:r>
          </w:p>
        </w:tc>
      </w:tr>
    </w:tbl>
    <w:p w:rsidR="005D4FF4" w:rsidRDefault="005D4FF4" w:rsidP="001C59B5">
      <w:pPr>
        <w:spacing w:after="0" w:line="240" w:lineRule="auto"/>
      </w:pPr>
    </w:p>
    <w:tbl>
      <w:tblPr>
        <w:tblStyle w:val="TableGrid"/>
        <w:tblW w:w="5000" w:type="pct"/>
        <w:tblBorders>
          <w:top w:val="single" w:sz="4" w:space="0" w:color="A39892"/>
          <w:left w:val="single" w:sz="4" w:space="0" w:color="A39892"/>
          <w:bottom w:val="single" w:sz="4" w:space="0" w:color="A39892"/>
          <w:right w:val="single" w:sz="4" w:space="0" w:color="A39892"/>
          <w:insideH w:val="single" w:sz="4" w:space="0" w:color="A39892"/>
          <w:insideV w:val="single" w:sz="4" w:space="0" w:color="A39892"/>
        </w:tblBorders>
        <w:shd w:val="clear" w:color="auto" w:fill="C6BDB6"/>
        <w:tblLayout w:type="fixed"/>
        <w:tblCellMar>
          <w:left w:w="115" w:type="dxa"/>
          <w:right w:w="115" w:type="dxa"/>
        </w:tblCellMar>
        <w:tblLook w:val="04A0" w:firstRow="1" w:lastRow="0" w:firstColumn="1" w:lastColumn="0" w:noHBand="0" w:noVBand="1"/>
      </w:tblPr>
      <w:tblGrid>
        <w:gridCol w:w="7948"/>
      </w:tblGrid>
      <w:tr w:rsidR="007556D0" w:rsidTr="007556D0">
        <w:trPr>
          <w:cantSplit/>
        </w:trPr>
        <w:tc>
          <w:tcPr>
            <w:tcW w:w="7934" w:type="dxa"/>
            <w:shd w:val="clear" w:color="auto" w:fill="C6BDB6"/>
          </w:tcPr>
          <w:p w:rsidR="007556D0" w:rsidRPr="007556D0" w:rsidRDefault="007556D0" w:rsidP="007556D0">
            <w:pPr>
              <w:pStyle w:val="TableText"/>
              <w:jc w:val="center"/>
              <w:rPr>
                <w:b/>
                <w:i/>
              </w:rPr>
            </w:pPr>
            <w:r>
              <w:rPr>
                <w:b/>
                <w:i/>
              </w:rPr>
              <w:t xml:space="preserve">Military Rehabilitation and Compensation </w:t>
            </w:r>
            <w:r w:rsidRPr="007556D0">
              <w:rPr>
                <w:b/>
                <w:i/>
              </w:rPr>
              <w:t xml:space="preserve">Act </w:t>
            </w:r>
            <w:r>
              <w:rPr>
                <w:b/>
                <w:i/>
              </w:rPr>
              <w:t>2004</w:t>
            </w:r>
          </w:p>
        </w:tc>
      </w:tr>
    </w:tbl>
    <w:p w:rsidR="007556D0" w:rsidRDefault="00B3338E" w:rsidP="001C59B5">
      <w:pPr>
        <w:keepNext/>
        <w:spacing w:after="0" w:line="240" w:lineRule="auto"/>
      </w:pPr>
      <w:r>
        <w:rPr>
          <w:noProof/>
          <w:lang w:eastAsia="en-AU"/>
        </w:rPr>
        <mc:AlternateContent>
          <mc:Choice Requires="wps">
            <w:drawing>
              <wp:anchor distT="0" distB="0" distL="114300" distR="114300" simplePos="0" relativeHeight="251685888" behindDoc="0" locked="1" layoutInCell="0" allowOverlap="1" wp14:anchorId="440D64FF" wp14:editId="50E85D5B">
                <wp:simplePos x="0" y="0"/>
                <wp:positionH relativeFrom="column">
                  <wp:posOffset>4419600</wp:posOffset>
                </wp:positionH>
                <wp:positionV relativeFrom="paragraph">
                  <wp:posOffset>6350</wp:posOffset>
                </wp:positionV>
                <wp:extent cx="255905" cy="109220"/>
                <wp:effectExtent l="19050" t="0" r="29845" b="43180"/>
                <wp:wrapNone/>
                <wp:docPr id="17" name="Isosceles Triangle 17"/>
                <wp:cNvGraphicFramePr/>
                <a:graphic xmlns:a="http://schemas.openxmlformats.org/drawingml/2006/main">
                  <a:graphicData uri="http://schemas.microsoft.com/office/word/2010/wordprocessingShape">
                    <wps:wsp>
                      <wps:cNvSpPr/>
                      <wps:spPr>
                        <a:xfrm flipV="1">
                          <a:off x="0" y="0"/>
                          <a:ext cx="255905" cy="109220"/>
                        </a:xfrm>
                        <a:prstGeom prst="triangle">
                          <a:avLst/>
                        </a:prstGeom>
                        <a:solidFill>
                          <a:srgbClr val="A39892"/>
                        </a:solidFill>
                        <a:ln>
                          <a:solidFill>
                            <a:srgbClr val="A39892"/>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17" o:spid="_x0000_s1026" type="#_x0000_t5" style="position:absolute;margin-left:348pt;margin-top:.5pt;width:20.15pt;height:8.6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" o:allowincell="f" fillcolor="#a39892" strokecolor="#a39892" strokeweight="2pt">
                <w10:anchorlock/>
              </v:shape>
            </w:pict>
          </mc:Fallback>
        </mc:AlternateContent>
      </w:r>
      <w:r>
        <w:rPr>
          <w:noProof/>
          <w:lang w:eastAsia="en-AU"/>
        </w:rPr>
        <mc:AlternateContent>
          <mc:Choice Requires="wps">
            <w:drawing>
              <wp:anchor distT="0" distB="0" distL="114300" distR="114300" simplePos="0" relativeHeight="251683840" behindDoc="0" locked="1" layoutInCell="0" allowOverlap="1" wp14:anchorId="7D525A46" wp14:editId="5B5E370C">
                <wp:simplePos x="0" y="0"/>
                <wp:positionH relativeFrom="column">
                  <wp:posOffset>3485515</wp:posOffset>
                </wp:positionH>
                <wp:positionV relativeFrom="paragraph">
                  <wp:posOffset>6350</wp:posOffset>
                </wp:positionV>
                <wp:extent cx="255905" cy="109220"/>
                <wp:effectExtent l="19050" t="0" r="29845" b="43180"/>
                <wp:wrapNone/>
                <wp:docPr id="16" name="Isosceles Triangle 16"/>
                <wp:cNvGraphicFramePr/>
                <a:graphic xmlns:a="http://schemas.openxmlformats.org/drawingml/2006/main">
                  <a:graphicData uri="http://schemas.microsoft.com/office/word/2010/wordprocessingShape">
                    <wps:wsp>
                      <wps:cNvSpPr/>
                      <wps:spPr>
                        <a:xfrm flipV="1">
                          <a:off x="0" y="0"/>
                          <a:ext cx="255905" cy="109220"/>
                        </a:xfrm>
                        <a:prstGeom prst="triangle">
                          <a:avLst/>
                        </a:prstGeom>
                        <a:solidFill>
                          <a:srgbClr val="A39892"/>
                        </a:solidFill>
                        <a:ln>
                          <a:solidFill>
                            <a:srgbClr val="A39892"/>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16" o:spid="_x0000_s1026" type="#_x0000_t5" style="position:absolute;margin-left:274.45pt;margin-top:.5pt;width:20.15pt;height:8.6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" o:allowincell="f" fillcolor="#a39892" strokecolor="#a39892" strokeweight="2pt">
                <w10:anchorlock/>
              </v:shape>
            </w:pict>
          </mc:Fallback>
        </mc:AlternateContent>
      </w:r>
      <w:r>
        <w:rPr>
          <w:noProof/>
          <w:lang w:eastAsia="en-AU"/>
        </w:rPr>
        <mc:AlternateContent>
          <mc:Choice Requires="wps">
            <w:drawing>
              <wp:anchor distT="0" distB="0" distL="114300" distR="114300" simplePos="0" relativeHeight="251681792" behindDoc="0" locked="1" layoutInCell="0" allowOverlap="1" wp14:anchorId="4872BEB8" wp14:editId="750B803E">
                <wp:simplePos x="0" y="0"/>
                <wp:positionH relativeFrom="column">
                  <wp:posOffset>2548255</wp:posOffset>
                </wp:positionH>
                <wp:positionV relativeFrom="paragraph">
                  <wp:posOffset>6350</wp:posOffset>
                </wp:positionV>
                <wp:extent cx="255905" cy="109220"/>
                <wp:effectExtent l="19050" t="0" r="29845" b="43180"/>
                <wp:wrapNone/>
                <wp:docPr id="15" name="Isosceles Triangle 15"/>
                <wp:cNvGraphicFramePr/>
                <a:graphic xmlns:a="http://schemas.openxmlformats.org/drawingml/2006/main">
                  <a:graphicData uri="http://schemas.microsoft.com/office/word/2010/wordprocessingShape">
                    <wps:wsp>
                      <wps:cNvSpPr/>
                      <wps:spPr>
                        <a:xfrm flipV="1">
                          <a:off x="0" y="0"/>
                          <a:ext cx="255905" cy="109220"/>
                        </a:xfrm>
                        <a:prstGeom prst="triangle">
                          <a:avLst/>
                        </a:prstGeom>
                        <a:solidFill>
                          <a:srgbClr val="A39892"/>
                        </a:solidFill>
                        <a:ln>
                          <a:solidFill>
                            <a:srgbClr val="A39892"/>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15" o:spid="_x0000_s1026" type="#_x0000_t5" style="position:absolute;margin-left:200.65pt;margin-top:.5pt;width:20.15pt;height:8.6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" o:allowincell="f" fillcolor="#a39892" strokecolor="#a39892" strokeweight="2pt">
                <w10:anchorlock/>
              </v:shape>
            </w:pict>
          </mc:Fallback>
        </mc:AlternateContent>
      </w:r>
      <w:r>
        <w:rPr>
          <w:noProof/>
          <w:lang w:eastAsia="en-AU"/>
        </w:rPr>
        <mc:AlternateContent>
          <mc:Choice Requires="wps">
            <w:drawing>
              <wp:anchor distT="0" distB="0" distL="114300" distR="114300" simplePos="0" relativeHeight="251679744" behindDoc="0" locked="1" layoutInCell="0" allowOverlap="1" wp14:anchorId="5543BDD6" wp14:editId="22D6A990">
                <wp:simplePos x="0" y="0"/>
                <wp:positionH relativeFrom="column">
                  <wp:posOffset>1664335</wp:posOffset>
                </wp:positionH>
                <wp:positionV relativeFrom="paragraph">
                  <wp:posOffset>6350</wp:posOffset>
                </wp:positionV>
                <wp:extent cx="255905" cy="109220"/>
                <wp:effectExtent l="19050" t="0" r="29845" b="43180"/>
                <wp:wrapNone/>
                <wp:docPr id="14" name="Isosceles Triangle 14"/>
                <wp:cNvGraphicFramePr/>
                <a:graphic xmlns:a="http://schemas.openxmlformats.org/drawingml/2006/main">
                  <a:graphicData uri="http://schemas.microsoft.com/office/word/2010/wordprocessingShape">
                    <wps:wsp>
                      <wps:cNvSpPr/>
                      <wps:spPr>
                        <a:xfrm flipV="1">
                          <a:off x="0" y="0"/>
                          <a:ext cx="255905" cy="109220"/>
                        </a:xfrm>
                        <a:prstGeom prst="triangle">
                          <a:avLst/>
                        </a:prstGeom>
                        <a:solidFill>
                          <a:srgbClr val="A39892"/>
                        </a:solidFill>
                        <a:ln>
                          <a:solidFill>
                            <a:srgbClr val="A39892"/>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14" o:spid="_x0000_s1026" type="#_x0000_t5" style="position:absolute;margin-left:131.05pt;margin-top:.5pt;width:20.15pt;height:8.6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" o:allowincell="f" fillcolor="#a39892" strokecolor="#a39892" strokeweight="2pt">
                <w10:anchorlock/>
              </v:shape>
            </w:pict>
          </mc:Fallback>
        </mc:AlternateContent>
      </w:r>
      <w:r>
        <w:rPr>
          <w:noProof/>
          <w:lang w:eastAsia="en-AU"/>
        </w:rPr>
        <mc:AlternateContent>
          <mc:Choice Requires="wps">
            <w:drawing>
              <wp:anchor distT="0" distB="0" distL="114300" distR="114300" simplePos="0" relativeHeight="251677696" behindDoc="0" locked="1" layoutInCell="0" allowOverlap="1" wp14:anchorId="2033C597" wp14:editId="7D30083F">
                <wp:simplePos x="0" y="0"/>
                <wp:positionH relativeFrom="column">
                  <wp:posOffset>757555</wp:posOffset>
                </wp:positionH>
                <wp:positionV relativeFrom="paragraph">
                  <wp:posOffset>6350</wp:posOffset>
                </wp:positionV>
                <wp:extent cx="255905" cy="109220"/>
                <wp:effectExtent l="19050" t="0" r="29845" b="43180"/>
                <wp:wrapNone/>
                <wp:docPr id="13" name="Isosceles Triangle 13"/>
                <wp:cNvGraphicFramePr/>
                <a:graphic xmlns:a="http://schemas.openxmlformats.org/drawingml/2006/main">
                  <a:graphicData uri="http://schemas.microsoft.com/office/word/2010/wordprocessingShape">
                    <wps:wsp>
                      <wps:cNvSpPr/>
                      <wps:spPr>
                        <a:xfrm flipV="1">
                          <a:off x="0" y="0"/>
                          <a:ext cx="255905" cy="109220"/>
                        </a:xfrm>
                        <a:prstGeom prst="triangle">
                          <a:avLst/>
                        </a:prstGeom>
                        <a:solidFill>
                          <a:srgbClr val="A39892"/>
                        </a:solidFill>
                        <a:ln>
                          <a:solidFill>
                            <a:srgbClr val="A39892"/>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13" o:spid="_x0000_s1026" type="#_x0000_t5" style="position:absolute;margin-left:59.65pt;margin-top:.5pt;width:20.15pt;height:8.6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" o:allowincell="f" fillcolor="#a39892" strokecolor="#a39892" strokeweight="2pt">
                <w10:anchorlock/>
              </v:shape>
            </w:pict>
          </mc:Fallback>
        </mc:AlternateContent>
      </w:r>
      <w:r>
        <w:rPr>
          <w:noProof/>
          <w:lang w:eastAsia="en-AU"/>
        </w:rPr>
        <mc:AlternateContent>
          <mc:Choice Requires="wps">
            <w:drawing>
              <wp:anchor distT="0" distB="0" distL="114300" distR="114300" simplePos="0" relativeHeight="251675648" behindDoc="0" locked="1" layoutInCell="0" allowOverlap="1" wp14:anchorId="36B94349" wp14:editId="7C571EA8">
                <wp:simplePos x="0" y="0"/>
                <wp:positionH relativeFrom="column">
                  <wp:posOffset>10795</wp:posOffset>
                </wp:positionH>
                <wp:positionV relativeFrom="paragraph">
                  <wp:posOffset>6350</wp:posOffset>
                </wp:positionV>
                <wp:extent cx="255905" cy="109220"/>
                <wp:effectExtent l="19050" t="0" r="29845" b="43180"/>
                <wp:wrapNone/>
                <wp:docPr id="12" name="Isosceles Triangle 12"/>
                <wp:cNvGraphicFramePr/>
                <a:graphic xmlns:a="http://schemas.openxmlformats.org/drawingml/2006/main">
                  <a:graphicData uri="http://schemas.microsoft.com/office/word/2010/wordprocessingShape">
                    <wps:wsp>
                      <wps:cNvSpPr/>
                      <wps:spPr>
                        <a:xfrm flipV="1">
                          <a:off x="0" y="0"/>
                          <a:ext cx="255905" cy="109220"/>
                        </a:xfrm>
                        <a:prstGeom prst="triangle">
                          <a:avLst/>
                        </a:prstGeom>
                        <a:solidFill>
                          <a:srgbClr val="A39892"/>
                        </a:solidFill>
                        <a:ln>
                          <a:solidFill>
                            <a:srgbClr val="A39892"/>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12" o:spid="_x0000_s1026" type="#_x0000_t5" style="position:absolute;margin-left:.85pt;margin-top:.5pt;width:20.15pt;height:8.6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" o:allowincell="f" fillcolor="#a39892" strokecolor="#a39892" strokeweight="2pt">
                <w10:anchorlock/>
              </v:shape>
            </w:pict>
          </mc:Fallback>
        </mc:AlternateContent>
      </w:r>
    </w:p>
    <w:tbl>
      <w:tblPr>
        <w:tblStyle w:val="TableGrid"/>
        <w:tblW w:w="5000" w:type="pct"/>
        <w:tblLayout w:type="fixed"/>
        <w:tblCellMar>
          <w:left w:w="72" w:type="dxa"/>
          <w:right w:w="115" w:type="dxa"/>
        </w:tblCellMar>
        <w:tblLook w:val="04A0" w:firstRow="1" w:lastRow="0" w:firstColumn="1" w:lastColumn="0" w:noHBand="0" w:noVBand="1"/>
      </w:tblPr>
      <w:tblGrid>
        <w:gridCol w:w="745"/>
        <w:gridCol w:w="223"/>
        <w:gridCol w:w="1129"/>
        <w:gridCol w:w="223"/>
        <w:gridCol w:w="1221"/>
        <w:gridCol w:w="223"/>
        <w:gridCol w:w="1198"/>
        <w:gridCol w:w="223"/>
        <w:gridCol w:w="1270"/>
        <w:gridCol w:w="223"/>
        <w:gridCol w:w="1270"/>
      </w:tblGrid>
      <w:tr w:rsidR="00B3338E" w:rsidTr="00B3338E">
        <w:trPr>
          <w:cantSplit/>
        </w:trPr>
        <w:tc>
          <w:tcPr>
            <w:tcW w:w="744" w:type="dxa"/>
            <w:tcBorders>
              <w:top w:val="single" w:sz="4" w:space="0" w:color="A39892"/>
              <w:left w:val="single" w:sz="4" w:space="0" w:color="A39892"/>
              <w:bottom w:val="single" w:sz="4" w:space="0" w:color="A39892"/>
              <w:right w:val="single" w:sz="4" w:space="0" w:color="A39892"/>
            </w:tcBorders>
            <w:shd w:val="clear" w:color="auto" w:fill="F4F0ED"/>
            <w:tcMar>
              <w:left w:w="115" w:type="dxa"/>
              <w:right w:w="72" w:type="dxa"/>
            </w:tcMar>
          </w:tcPr>
          <w:p w:rsidR="007556D0" w:rsidRDefault="007556D0" w:rsidP="005D4FF4">
            <w:pPr>
              <w:pStyle w:val="TableText"/>
              <w:jc w:val="center"/>
            </w:pPr>
            <w:r>
              <w:t>Liability</w:t>
            </w:r>
          </w:p>
        </w:tc>
        <w:tc>
          <w:tcPr>
            <w:tcW w:w="223" w:type="dxa"/>
            <w:tcBorders>
              <w:top w:val="nil"/>
              <w:left w:val="single" w:sz="4" w:space="0" w:color="A39892"/>
              <w:bottom w:val="nil"/>
              <w:right w:val="single" w:sz="4" w:space="0" w:color="A39892"/>
            </w:tcBorders>
            <w:tcMar>
              <w:left w:w="72" w:type="dxa"/>
              <w:right w:w="72" w:type="dxa"/>
            </w:tcMar>
          </w:tcPr>
          <w:p w:rsidR="007556D0" w:rsidRDefault="007556D0" w:rsidP="005D4FF4">
            <w:pPr>
              <w:pStyle w:val="TableText"/>
            </w:pPr>
          </w:p>
        </w:tc>
        <w:tc>
          <w:tcPr>
            <w:tcW w:w="1127" w:type="dxa"/>
            <w:tcBorders>
              <w:top w:val="single" w:sz="4" w:space="0" w:color="A39892"/>
              <w:left w:val="single" w:sz="4" w:space="0" w:color="A39892"/>
              <w:bottom w:val="single" w:sz="4" w:space="0" w:color="A39892"/>
              <w:right w:val="single" w:sz="4" w:space="0" w:color="A39892"/>
            </w:tcBorders>
            <w:shd w:val="clear" w:color="auto" w:fill="F4F0ED"/>
          </w:tcPr>
          <w:p w:rsidR="007556D0" w:rsidRDefault="007556D0" w:rsidP="005D4FF4">
            <w:pPr>
              <w:pStyle w:val="TableText"/>
              <w:jc w:val="center"/>
            </w:pPr>
            <w:r>
              <w:t>Rehabilitation</w:t>
            </w:r>
            <w:r w:rsidR="001D1DCA">
              <w:fldChar w:fldCharType="begin"/>
            </w:r>
            <w:r w:rsidR="001D1DCA">
              <w:instrText xml:space="preserve"> XE "</w:instrText>
            </w:r>
            <w:r w:rsidR="001D1DCA" w:rsidRPr="002D7689">
              <w:instrText>rehabilitation</w:instrText>
            </w:r>
            <w:r w:rsidR="001D1DCA">
              <w:instrText xml:space="preserve">" \r "TOC_rehabilitation" </w:instrText>
            </w:r>
            <w:r w:rsidR="001D1DCA">
              <w:fldChar w:fldCharType="end"/>
            </w:r>
          </w:p>
        </w:tc>
        <w:tc>
          <w:tcPr>
            <w:tcW w:w="222" w:type="dxa"/>
            <w:tcBorders>
              <w:top w:val="nil"/>
              <w:left w:val="single" w:sz="4" w:space="0" w:color="A39892"/>
              <w:bottom w:val="nil"/>
              <w:right w:val="single" w:sz="4" w:space="0" w:color="A39892"/>
            </w:tcBorders>
          </w:tcPr>
          <w:p w:rsidR="007556D0" w:rsidRPr="00B3338E" w:rsidRDefault="007556D0" w:rsidP="005D4FF4">
            <w:pPr>
              <w:pStyle w:val="TableText"/>
              <w:rPr>
                <w:sz w:val="17"/>
                <w:szCs w:val="17"/>
              </w:rPr>
            </w:pPr>
          </w:p>
        </w:tc>
        <w:tc>
          <w:tcPr>
            <w:tcW w:w="1218" w:type="dxa"/>
            <w:tcBorders>
              <w:top w:val="single" w:sz="4" w:space="0" w:color="A39892"/>
              <w:left w:val="single" w:sz="4" w:space="0" w:color="A39892"/>
              <w:bottom w:val="single" w:sz="4" w:space="0" w:color="A39892"/>
              <w:right w:val="single" w:sz="4" w:space="0" w:color="A39892"/>
            </w:tcBorders>
            <w:shd w:val="clear" w:color="auto" w:fill="F4F0ED"/>
          </w:tcPr>
          <w:p w:rsidR="007556D0" w:rsidRDefault="007556D0" w:rsidP="005D4FF4">
            <w:pPr>
              <w:pStyle w:val="TableText"/>
              <w:jc w:val="center"/>
            </w:pPr>
            <w:r>
              <w:t>Compensation for permanent impairment</w:t>
            </w:r>
            <w:r w:rsidR="001D1DCA">
              <w:fldChar w:fldCharType="begin"/>
            </w:r>
            <w:r w:rsidR="001D1DCA">
              <w:instrText xml:space="preserve"> XE "</w:instrText>
            </w:r>
            <w:r w:rsidR="001D1DCA" w:rsidRPr="003924C2">
              <w:instrText>permanent impairment</w:instrText>
            </w:r>
            <w:r w:rsidR="001D1DCA">
              <w:instrText xml:space="preserve">" \r "TOC_impairment" </w:instrText>
            </w:r>
            <w:r w:rsidR="001D1DCA">
              <w:fldChar w:fldCharType="end"/>
            </w:r>
          </w:p>
        </w:tc>
        <w:tc>
          <w:tcPr>
            <w:tcW w:w="222" w:type="dxa"/>
            <w:tcBorders>
              <w:top w:val="nil"/>
              <w:left w:val="single" w:sz="4" w:space="0" w:color="A39892"/>
              <w:bottom w:val="nil"/>
              <w:right w:val="single" w:sz="4" w:space="0" w:color="A39892"/>
            </w:tcBorders>
            <w:shd w:val="clear" w:color="auto" w:fill="auto"/>
          </w:tcPr>
          <w:p w:rsidR="007556D0" w:rsidRPr="00B3338E" w:rsidRDefault="007556D0" w:rsidP="009566D7">
            <w:pPr>
              <w:pStyle w:val="TableText"/>
              <w:rPr>
                <w:sz w:val="17"/>
                <w:szCs w:val="17"/>
              </w:rPr>
            </w:pPr>
          </w:p>
        </w:tc>
        <w:tc>
          <w:tcPr>
            <w:tcW w:w="1195" w:type="dxa"/>
            <w:tcBorders>
              <w:top w:val="single" w:sz="4" w:space="0" w:color="A39892"/>
              <w:left w:val="single" w:sz="4" w:space="0" w:color="A39892"/>
              <w:bottom w:val="single" w:sz="4" w:space="0" w:color="A39892"/>
              <w:right w:val="single" w:sz="4" w:space="0" w:color="A39892"/>
            </w:tcBorders>
            <w:shd w:val="clear" w:color="auto" w:fill="F4F0ED"/>
          </w:tcPr>
          <w:p w:rsidR="007556D0" w:rsidRDefault="007556D0" w:rsidP="007556D0">
            <w:pPr>
              <w:pStyle w:val="TableText"/>
              <w:jc w:val="center"/>
            </w:pPr>
            <w:r>
              <w:t>Compensation for incapacity for work</w:t>
            </w:r>
          </w:p>
        </w:tc>
        <w:tc>
          <w:tcPr>
            <w:tcW w:w="222" w:type="dxa"/>
            <w:tcBorders>
              <w:top w:val="nil"/>
              <w:left w:val="single" w:sz="4" w:space="0" w:color="A39892"/>
              <w:bottom w:val="nil"/>
              <w:right w:val="single" w:sz="4" w:space="0" w:color="A39892"/>
            </w:tcBorders>
            <w:shd w:val="clear" w:color="auto" w:fill="auto"/>
          </w:tcPr>
          <w:p w:rsidR="007556D0" w:rsidRPr="00B3338E" w:rsidRDefault="007556D0" w:rsidP="009566D7">
            <w:pPr>
              <w:pStyle w:val="TableText"/>
              <w:rPr>
                <w:sz w:val="17"/>
                <w:szCs w:val="17"/>
              </w:rPr>
            </w:pPr>
          </w:p>
        </w:tc>
        <w:tc>
          <w:tcPr>
            <w:tcW w:w="1267" w:type="dxa"/>
            <w:tcBorders>
              <w:top w:val="single" w:sz="4" w:space="0" w:color="A39892"/>
              <w:left w:val="single" w:sz="4" w:space="0" w:color="A39892"/>
              <w:bottom w:val="single" w:sz="4" w:space="0" w:color="A39892"/>
              <w:right w:val="single" w:sz="4" w:space="0" w:color="A39892"/>
            </w:tcBorders>
            <w:shd w:val="clear" w:color="auto" w:fill="F4F0ED"/>
          </w:tcPr>
          <w:p w:rsidR="007556D0" w:rsidRDefault="007556D0" w:rsidP="009566D7">
            <w:pPr>
              <w:pStyle w:val="TableText"/>
              <w:jc w:val="center"/>
            </w:pPr>
            <w:r>
              <w:t>Compensation for dependants</w:t>
            </w:r>
          </w:p>
        </w:tc>
        <w:tc>
          <w:tcPr>
            <w:tcW w:w="222" w:type="dxa"/>
            <w:tcBorders>
              <w:top w:val="nil"/>
              <w:left w:val="single" w:sz="4" w:space="0" w:color="A39892"/>
              <w:bottom w:val="nil"/>
              <w:right w:val="single" w:sz="4" w:space="0" w:color="A39892"/>
            </w:tcBorders>
            <w:shd w:val="clear" w:color="auto" w:fill="auto"/>
          </w:tcPr>
          <w:p w:rsidR="007556D0" w:rsidRPr="00B3338E" w:rsidRDefault="007556D0" w:rsidP="009566D7">
            <w:pPr>
              <w:pStyle w:val="TableText"/>
              <w:jc w:val="center"/>
              <w:rPr>
                <w:sz w:val="17"/>
                <w:szCs w:val="17"/>
              </w:rPr>
            </w:pPr>
          </w:p>
        </w:tc>
        <w:tc>
          <w:tcPr>
            <w:tcW w:w="1267" w:type="dxa"/>
            <w:tcBorders>
              <w:top w:val="single" w:sz="4" w:space="0" w:color="A39892"/>
              <w:left w:val="single" w:sz="4" w:space="0" w:color="A39892"/>
              <w:bottom w:val="single" w:sz="4" w:space="0" w:color="A39892"/>
              <w:right w:val="single" w:sz="4" w:space="0" w:color="A39892"/>
            </w:tcBorders>
            <w:shd w:val="clear" w:color="auto" w:fill="F4F0ED"/>
          </w:tcPr>
          <w:p w:rsidR="007556D0" w:rsidRDefault="007556D0" w:rsidP="009566D7">
            <w:pPr>
              <w:pStyle w:val="TableText"/>
              <w:jc w:val="center"/>
            </w:pPr>
            <w:r>
              <w:t>Compensation for treatment, allowances, debts</w:t>
            </w:r>
          </w:p>
        </w:tc>
      </w:tr>
    </w:tbl>
    <w:p w:rsidR="005D4FF4" w:rsidRDefault="005D4FF4" w:rsidP="001C59B5">
      <w:pPr>
        <w:spacing w:after="0" w:line="240" w:lineRule="auto"/>
      </w:pPr>
    </w:p>
    <w:tbl>
      <w:tblPr>
        <w:tblStyle w:val="TableGrid"/>
        <w:tblW w:w="5000" w:type="pct"/>
        <w:tblBorders>
          <w:top w:val="single" w:sz="4" w:space="0" w:color="A39892"/>
          <w:left w:val="single" w:sz="4" w:space="0" w:color="A39892"/>
          <w:bottom w:val="single" w:sz="4" w:space="0" w:color="A39892"/>
          <w:right w:val="single" w:sz="4" w:space="0" w:color="A39892"/>
          <w:insideH w:val="single" w:sz="4" w:space="0" w:color="A39892"/>
          <w:insideV w:val="single" w:sz="4" w:space="0" w:color="A39892"/>
        </w:tblBorders>
        <w:tblLayout w:type="fixed"/>
        <w:tblCellMar>
          <w:left w:w="115" w:type="dxa"/>
          <w:right w:w="115" w:type="dxa"/>
        </w:tblCellMar>
        <w:tblLook w:val="04A0" w:firstRow="1" w:lastRow="0" w:firstColumn="1" w:lastColumn="0" w:noHBand="0" w:noVBand="1"/>
      </w:tblPr>
      <w:tblGrid>
        <w:gridCol w:w="1092"/>
        <w:gridCol w:w="1093"/>
        <w:gridCol w:w="5763"/>
      </w:tblGrid>
      <w:tr w:rsidR="005D4FF4" w:rsidRPr="005D4FF4" w:rsidTr="000B3C1A">
        <w:trPr>
          <w:cantSplit/>
          <w:tblHeader/>
        </w:trPr>
        <w:tc>
          <w:tcPr>
            <w:tcW w:w="1092" w:type="dxa"/>
            <w:shd w:val="clear" w:color="auto" w:fill="C6BDB6"/>
          </w:tcPr>
          <w:p w:rsidR="005D4FF4" w:rsidRPr="005D4FF4" w:rsidRDefault="005D4FF4" w:rsidP="001C59B5">
            <w:pPr>
              <w:pStyle w:val="TableText"/>
              <w:spacing w:before="40" w:after="40"/>
              <w:rPr>
                <w:b/>
              </w:rPr>
            </w:pPr>
            <w:r w:rsidRPr="005D4FF4">
              <w:rPr>
                <w:b/>
              </w:rPr>
              <w:t>Section concerning the matter</w:t>
            </w:r>
          </w:p>
        </w:tc>
        <w:tc>
          <w:tcPr>
            <w:tcW w:w="1093" w:type="dxa"/>
            <w:shd w:val="clear" w:color="auto" w:fill="C6BDB6"/>
          </w:tcPr>
          <w:p w:rsidR="005D4FF4" w:rsidRPr="005D4FF4" w:rsidRDefault="005D4FF4" w:rsidP="001C59B5">
            <w:pPr>
              <w:pStyle w:val="TableText"/>
              <w:spacing w:before="40" w:after="40"/>
              <w:rPr>
                <w:b/>
              </w:rPr>
            </w:pPr>
            <w:r w:rsidRPr="005D4FF4">
              <w:rPr>
                <w:b/>
              </w:rPr>
              <w:t>Section under which determined</w:t>
            </w:r>
          </w:p>
        </w:tc>
        <w:tc>
          <w:tcPr>
            <w:tcW w:w="5763" w:type="dxa"/>
            <w:shd w:val="clear" w:color="auto" w:fill="C6BDB6"/>
          </w:tcPr>
          <w:p w:rsidR="005D4FF4" w:rsidRPr="005D4FF4" w:rsidRDefault="005D4FF4" w:rsidP="001C59B5">
            <w:pPr>
              <w:pStyle w:val="TableText"/>
              <w:spacing w:before="40" w:after="40"/>
              <w:rPr>
                <w:b/>
              </w:rPr>
            </w:pPr>
            <w:r w:rsidRPr="005D4FF4">
              <w:rPr>
                <w:b/>
              </w:rPr>
              <w:t>Determination</w:t>
            </w:r>
          </w:p>
        </w:tc>
      </w:tr>
      <w:tr w:rsidR="005D4FF4" w:rsidRPr="00A22DF3" w:rsidTr="000B3C1A">
        <w:trPr>
          <w:cantSplit/>
        </w:trPr>
        <w:tc>
          <w:tcPr>
            <w:tcW w:w="1092" w:type="dxa"/>
          </w:tcPr>
          <w:p w:rsidR="005D4FF4" w:rsidRPr="00A22DF3" w:rsidRDefault="001C59B5" w:rsidP="001C59B5">
            <w:pPr>
              <w:pStyle w:val="TableText"/>
              <w:spacing w:before="40" w:after="40"/>
              <w:rPr>
                <w:b/>
              </w:rPr>
            </w:pPr>
            <w:r w:rsidRPr="00A22DF3">
              <w:rPr>
                <w:b/>
              </w:rPr>
              <w:t>Chapter 2</w:t>
            </w:r>
          </w:p>
        </w:tc>
        <w:tc>
          <w:tcPr>
            <w:tcW w:w="1093" w:type="dxa"/>
          </w:tcPr>
          <w:p w:rsidR="005D4FF4" w:rsidRPr="00A22DF3" w:rsidRDefault="005D4FF4" w:rsidP="001C59B5">
            <w:pPr>
              <w:pStyle w:val="TableText"/>
              <w:spacing w:before="40" w:after="40"/>
              <w:rPr>
                <w:b/>
              </w:rPr>
            </w:pPr>
          </w:p>
        </w:tc>
        <w:tc>
          <w:tcPr>
            <w:tcW w:w="5763" w:type="dxa"/>
          </w:tcPr>
          <w:p w:rsidR="005D4FF4" w:rsidRPr="00A22DF3" w:rsidRDefault="001C59B5" w:rsidP="001C59B5">
            <w:pPr>
              <w:pStyle w:val="TableText"/>
              <w:spacing w:before="40" w:after="40"/>
              <w:rPr>
                <w:b/>
              </w:rPr>
            </w:pPr>
            <w:r w:rsidRPr="00A22DF3">
              <w:rPr>
                <w:b/>
              </w:rPr>
              <w:t>Accepting liability</w:t>
            </w:r>
            <w:r w:rsidR="00660120">
              <w:rPr>
                <w:b/>
              </w:rPr>
              <w:fldChar w:fldCharType="begin"/>
            </w:r>
            <w:r w:rsidR="00660120">
              <w:instrText xml:space="preserve"> XE "</w:instrText>
            </w:r>
            <w:r w:rsidR="00660120" w:rsidRPr="003924C2">
              <w:instrText>liability</w:instrText>
            </w:r>
            <w:r w:rsidR="00660120">
              <w:instrText xml:space="preserve">" \r "TOC_liability2" </w:instrText>
            </w:r>
            <w:r w:rsidR="00660120">
              <w:rPr>
                <w:b/>
              </w:rPr>
              <w:fldChar w:fldCharType="end"/>
            </w:r>
          </w:p>
        </w:tc>
      </w:tr>
      <w:tr w:rsidR="001C59B5" w:rsidTr="000B3C1A">
        <w:trPr>
          <w:cantSplit/>
        </w:trPr>
        <w:tc>
          <w:tcPr>
            <w:tcW w:w="1092" w:type="dxa"/>
          </w:tcPr>
          <w:p w:rsidR="001C59B5" w:rsidRDefault="001C59B5" w:rsidP="001C59B5">
            <w:pPr>
              <w:pStyle w:val="TableText"/>
              <w:spacing w:before="40" w:after="40"/>
            </w:pPr>
            <w:r>
              <w:t>23</w:t>
            </w:r>
          </w:p>
        </w:tc>
        <w:tc>
          <w:tcPr>
            <w:tcW w:w="1093" w:type="dxa"/>
          </w:tcPr>
          <w:p w:rsidR="001C59B5" w:rsidRDefault="001C59B5" w:rsidP="001C59B5">
            <w:pPr>
              <w:pStyle w:val="TableText"/>
              <w:spacing w:before="40" w:after="40"/>
            </w:pPr>
            <w:r>
              <w:t>333</w:t>
            </w:r>
          </w:p>
        </w:tc>
        <w:tc>
          <w:tcPr>
            <w:tcW w:w="5763" w:type="dxa"/>
          </w:tcPr>
          <w:p w:rsidR="001C59B5" w:rsidRDefault="001C59B5" w:rsidP="001C59B5">
            <w:pPr>
              <w:pStyle w:val="TableText"/>
              <w:spacing w:before="40" w:after="40"/>
            </w:pPr>
            <w:r>
              <w:t>Liability for service injury or disease</w:t>
            </w:r>
          </w:p>
        </w:tc>
      </w:tr>
      <w:tr w:rsidR="001C59B5" w:rsidTr="000B3C1A">
        <w:trPr>
          <w:cantSplit/>
        </w:trPr>
        <w:tc>
          <w:tcPr>
            <w:tcW w:w="1092" w:type="dxa"/>
          </w:tcPr>
          <w:p w:rsidR="001C59B5" w:rsidRDefault="001C59B5" w:rsidP="001C59B5">
            <w:pPr>
              <w:pStyle w:val="TableText"/>
              <w:spacing w:before="40" w:after="40"/>
            </w:pPr>
            <w:r>
              <w:t>24</w:t>
            </w:r>
          </w:p>
        </w:tc>
        <w:tc>
          <w:tcPr>
            <w:tcW w:w="1093" w:type="dxa"/>
          </w:tcPr>
          <w:p w:rsidR="001C59B5" w:rsidRDefault="001C59B5" w:rsidP="001C59B5">
            <w:pPr>
              <w:pStyle w:val="TableText"/>
              <w:spacing w:before="40" w:after="40"/>
            </w:pPr>
            <w:r>
              <w:t>333</w:t>
            </w:r>
          </w:p>
        </w:tc>
        <w:tc>
          <w:tcPr>
            <w:tcW w:w="5763" w:type="dxa"/>
          </w:tcPr>
          <w:p w:rsidR="001C59B5" w:rsidRDefault="001C59B5" w:rsidP="001C59B5">
            <w:pPr>
              <w:pStyle w:val="TableText"/>
              <w:spacing w:before="40" w:after="40"/>
            </w:pPr>
            <w:r>
              <w:t>Liability for service death</w:t>
            </w:r>
          </w:p>
        </w:tc>
      </w:tr>
      <w:tr w:rsidR="001C59B5" w:rsidRPr="00A22DF3" w:rsidTr="000B3C1A">
        <w:trPr>
          <w:cantSplit/>
        </w:trPr>
        <w:tc>
          <w:tcPr>
            <w:tcW w:w="1092" w:type="dxa"/>
          </w:tcPr>
          <w:p w:rsidR="001C59B5" w:rsidRPr="00A22DF3" w:rsidRDefault="001C59B5" w:rsidP="001C59B5">
            <w:pPr>
              <w:pStyle w:val="TableText"/>
              <w:spacing w:before="40" w:after="40"/>
              <w:rPr>
                <w:b/>
              </w:rPr>
            </w:pPr>
            <w:r w:rsidRPr="00A22DF3">
              <w:rPr>
                <w:b/>
              </w:rPr>
              <w:t>Chapter 3</w:t>
            </w:r>
          </w:p>
        </w:tc>
        <w:tc>
          <w:tcPr>
            <w:tcW w:w="1093" w:type="dxa"/>
          </w:tcPr>
          <w:p w:rsidR="001C59B5" w:rsidRPr="00A22DF3" w:rsidRDefault="001C59B5" w:rsidP="001C59B5">
            <w:pPr>
              <w:pStyle w:val="TableText"/>
              <w:spacing w:before="40" w:after="40"/>
              <w:rPr>
                <w:b/>
              </w:rPr>
            </w:pPr>
          </w:p>
        </w:tc>
        <w:tc>
          <w:tcPr>
            <w:tcW w:w="5763" w:type="dxa"/>
          </w:tcPr>
          <w:p w:rsidR="001C59B5" w:rsidRPr="00A22DF3" w:rsidRDefault="001C59B5" w:rsidP="001C59B5">
            <w:pPr>
              <w:pStyle w:val="TableText"/>
              <w:spacing w:before="40" w:after="40"/>
              <w:rPr>
                <w:b/>
              </w:rPr>
            </w:pPr>
            <w:r w:rsidRPr="00A22DF3">
              <w:rPr>
                <w:b/>
              </w:rPr>
              <w:t>Rehabilitation</w:t>
            </w:r>
          </w:p>
        </w:tc>
      </w:tr>
      <w:tr w:rsidR="001C59B5" w:rsidTr="000B3C1A">
        <w:trPr>
          <w:cantSplit/>
        </w:trPr>
        <w:tc>
          <w:tcPr>
            <w:tcW w:w="1092" w:type="dxa"/>
          </w:tcPr>
          <w:p w:rsidR="001C59B5" w:rsidRDefault="001C59B5" w:rsidP="001C59B5">
            <w:pPr>
              <w:pStyle w:val="TableText"/>
              <w:spacing w:before="40" w:after="40"/>
            </w:pPr>
            <w:r>
              <w:t>44</w:t>
            </w:r>
          </w:p>
        </w:tc>
        <w:tc>
          <w:tcPr>
            <w:tcW w:w="1093" w:type="dxa"/>
          </w:tcPr>
          <w:p w:rsidR="001C59B5" w:rsidRDefault="001C59B5" w:rsidP="001C59B5">
            <w:pPr>
              <w:pStyle w:val="TableText"/>
              <w:spacing w:before="40" w:after="40"/>
            </w:pPr>
            <w:r>
              <w:t>44</w:t>
            </w:r>
          </w:p>
        </w:tc>
        <w:tc>
          <w:tcPr>
            <w:tcW w:w="5763" w:type="dxa"/>
          </w:tcPr>
          <w:p w:rsidR="001C59B5" w:rsidRDefault="001C59B5" w:rsidP="001C59B5">
            <w:pPr>
              <w:pStyle w:val="TableText"/>
              <w:spacing w:before="40" w:after="40"/>
            </w:pPr>
            <w:r>
              <w:t>Whether to carry out an assessment for rehabilitation</w:t>
            </w:r>
          </w:p>
        </w:tc>
      </w:tr>
      <w:tr w:rsidR="001C59B5" w:rsidTr="000B3C1A">
        <w:trPr>
          <w:cantSplit/>
        </w:trPr>
        <w:tc>
          <w:tcPr>
            <w:tcW w:w="1092" w:type="dxa"/>
          </w:tcPr>
          <w:p w:rsidR="001C59B5" w:rsidRDefault="001C59B5" w:rsidP="001C59B5">
            <w:pPr>
              <w:pStyle w:val="TableText"/>
              <w:spacing w:before="40" w:after="40"/>
            </w:pPr>
            <w:r>
              <w:t>45</w:t>
            </w:r>
          </w:p>
        </w:tc>
        <w:tc>
          <w:tcPr>
            <w:tcW w:w="1093" w:type="dxa"/>
          </w:tcPr>
          <w:p w:rsidR="001C59B5" w:rsidRDefault="001C59B5" w:rsidP="001C59B5">
            <w:pPr>
              <w:pStyle w:val="TableText"/>
              <w:spacing w:before="40" w:after="40"/>
            </w:pPr>
            <w:r>
              <w:t>45</w:t>
            </w:r>
          </w:p>
        </w:tc>
        <w:tc>
          <w:tcPr>
            <w:tcW w:w="5763" w:type="dxa"/>
          </w:tcPr>
          <w:p w:rsidR="001C59B5" w:rsidRDefault="001C59B5" w:rsidP="001C59B5">
            <w:pPr>
              <w:pStyle w:val="TableText"/>
              <w:spacing w:before="40" w:after="40"/>
            </w:pPr>
            <w:r>
              <w:t>Require a person to undergo an examination</w:t>
            </w:r>
          </w:p>
        </w:tc>
      </w:tr>
      <w:tr w:rsidR="001C59B5" w:rsidTr="000B3C1A">
        <w:trPr>
          <w:cantSplit/>
        </w:trPr>
        <w:tc>
          <w:tcPr>
            <w:tcW w:w="1092" w:type="dxa"/>
          </w:tcPr>
          <w:p w:rsidR="001C59B5" w:rsidRDefault="001C59B5" w:rsidP="001C59B5">
            <w:pPr>
              <w:pStyle w:val="TableText"/>
              <w:keepNext w:val="0"/>
              <w:spacing w:before="40" w:after="40"/>
            </w:pPr>
            <w:r>
              <w:t>48</w:t>
            </w:r>
          </w:p>
        </w:tc>
        <w:tc>
          <w:tcPr>
            <w:tcW w:w="1093" w:type="dxa"/>
          </w:tcPr>
          <w:p w:rsidR="001C59B5" w:rsidRDefault="001C59B5" w:rsidP="001C59B5">
            <w:pPr>
              <w:pStyle w:val="TableText"/>
              <w:keepNext w:val="0"/>
              <w:spacing w:before="40" w:after="40"/>
            </w:pPr>
            <w:r>
              <w:t>48</w:t>
            </w:r>
          </w:p>
        </w:tc>
        <w:tc>
          <w:tcPr>
            <w:tcW w:w="5763" w:type="dxa"/>
          </w:tcPr>
          <w:p w:rsidR="001C59B5" w:rsidRDefault="001C59B5" w:rsidP="001C59B5">
            <w:pPr>
              <w:pStyle w:val="TableText"/>
              <w:keepNext w:val="0"/>
              <w:spacing w:before="40" w:after="40"/>
            </w:pPr>
            <w:r>
              <w:t>Payment of costs reasonably incurred in connection with an examination</w:t>
            </w:r>
          </w:p>
        </w:tc>
      </w:tr>
      <w:tr w:rsidR="001C59B5" w:rsidTr="000B3C1A">
        <w:trPr>
          <w:cantSplit/>
        </w:trPr>
        <w:tc>
          <w:tcPr>
            <w:tcW w:w="1092" w:type="dxa"/>
          </w:tcPr>
          <w:p w:rsidR="001C59B5" w:rsidRDefault="001C59B5" w:rsidP="001C59B5">
            <w:pPr>
              <w:pStyle w:val="TableText"/>
              <w:spacing w:before="40" w:after="40"/>
            </w:pPr>
            <w:r>
              <w:lastRenderedPageBreak/>
              <w:t>51</w:t>
            </w:r>
          </w:p>
        </w:tc>
        <w:tc>
          <w:tcPr>
            <w:tcW w:w="1093" w:type="dxa"/>
          </w:tcPr>
          <w:p w:rsidR="001C59B5" w:rsidRDefault="001C59B5" w:rsidP="001C59B5">
            <w:pPr>
              <w:pStyle w:val="TableText"/>
              <w:spacing w:before="40" w:after="40"/>
            </w:pPr>
            <w:r>
              <w:t>51</w:t>
            </w:r>
          </w:p>
        </w:tc>
        <w:tc>
          <w:tcPr>
            <w:tcW w:w="5763" w:type="dxa"/>
          </w:tcPr>
          <w:p w:rsidR="001C59B5" w:rsidRDefault="001C59B5" w:rsidP="001C59B5">
            <w:pPr>
              <w:pStyle w:val="TableText"/>
              <w:spacing w:before="40" w:after="40"/>
            </w:pPr>
            <w:r>
              <w:t>Whether the person is to undertake a rehabilitation program</w:t>
            </w:r>
          </w:p>
        </w:tc>
      </w:tr>
      <w:tr w:rsidR="001C59B5" w:rsidTr="000B3C1A">
        <w:trPr>
          <w:cantSplit/>
        </w:trPr>
        <w:tc>
          <w:tcPr>
            <w:tcW w:w="1092" w:type="dxa"/>
          </w:tcPr>
          <w:p w:rsidR="001C59B5" w:rsidRDefault="00D074CA" w:rsidP="001C59B5">
            <w:pPr>
              <w:pStyle w:val="TableText"/>
              <w:spacing w:before="40" w:after="40"/>
            </w:pPr>
            <w:r>
              <w:t>51</w:t>
            </w:r>
          </w:p>
        </w:tc>
        <w:tc>
          <w:tcPr>
            <w:tcW w:w="1093" w:type="dxa"/>
          </w:tcPr>
          <w:p w:rsidR="001C59B5" w:rsidRDefault="00D074CA" w:rsidP="001C59B5">
            <w:pPr>
              <w:pStyle w:val="TableText"/>
              <w:spacing w:before="40" w:after="40"/>
            </w:pPr>
            <w:r>
              <w:t>51</w:t>
            </w:r>
          </w:p>
        </w:tc>
        <w:tc>
          <w:tcPr>
            <w:tcW w:w="5763" w:type="dxa"/>
          </w:tcPr>
          <w:p w:rsidR="001C59B5" w:rsidRDefault="00D074CA" w:rsidP="001C59B5">
            <w:pPr>
              <w:pStyle w:val="TableText"/>
              <w:spacing w:before="40" w:after="40"/>
            </w:pPr>
            <w:r>
              <w:t>Content of a rehabilitation program</w:t>
            </w:r>
          </w:p>
        </w:tc>
      </w:tr>
      <w:tr w:rsidR="00D074CA" w:rsidTr="000B3C1A">
        <w:trPr>
          <w:cantSplit/>
        </w:trPr>
        <w:tc>
          <w:tcPr>
            <w:tcW w:w="1092" w:type="dxa"/>
          </w:tcPr>
          <w:p w:rsidR="00D074CA" w:rsidRDefault="00A22DF3" w:rsidP="001C59B5">
            <w:pPr>
              <w:pStyle w:val="TableText"/>
              <w:spacing w:before="40" w:after="40"/>
            </w:pPr>
            <w:r>
              <w:t>53</w:t>
            </w:r>
          </w:p>
        </w:tc>
        <w:tc>
          <w:tcPr>
            <w:tcW w:w="1093" w:type="dxa"/>
          </w:tcPr>
          <w:p w:rsidR="00D074CA" w:rsidRDefault="00A22DF3" w:rsidP="001C59B5">
            <w:pPr>
              <w:pStyle w:val="TableText"/>
              <w:spacing w:before="40" w:after="40"/>
            </w:pPr>
            <w:r>
              <w:t>53</w:t>
            </w:r>
          </w:p>
        </w:tc>
        <w:tc>
          <w:tcPr>
            <w:tcW w:w="5763" w:type="dxa"/>
          </w:tcPr>
          <w:p w:rsidR="00D074CA" w:rsidRDefault="00A22DF3" w:rsidP="001C59B5">
            <w:pPr>
              <w:pStyle w:val="TableText"/>
              <w:spacing w:before="40" w:after="40"/>
            </w:pPr>
            <w:r>
              <w:t>Cessation or variation of a rehabilitation program</w:t>
            </w:r>
          </w:p>
        </w:tc>
      </w:tr>
      <w:tr w:rsidR="00A22DF3" w:rsidTr="000B3C1A">
        <w:trPr>
          <w:cantSplit/>
        </w:trPr>
        <w:tc>
          <w:tcPr>
            <w:tcW w:w="1092" w:type="dxa"/>
          </w:tcPr>
          <w:p w:rsidR="00A22DF3" w:rsidRDefault="00A22DF3" w:rsidP="001C59B5">
            <w:pPr>
              <w:pStyle w:val="TableText"/>
              <w:spacing w:before="40" w:after="40"/>
            </w:pPr>
            <w:r>
              <w:t>58</w:t>
            </w:r>
          </w:p>
        </w:tc>
        <w:tc>
          <w:tcPr>
            <w:tcW w:w="1093" w:type="dxa"/>
          </w:tcPr>
          <w:p w:rsidR="00A22DF3" w:rsidRDefault="00A22DF3" w:rsidP="001C59B5">
            <w:pPr>
              <w:pStyle w:val="TableText"/>
              <w:spacing w:before="40" w:after="40"/>
            </w:pPr>
            <w:r>
              <w:t>333</w:t>
            </w:r>
          </w:p>
        </w:tc>
        <w:tc>
          <w:tcPr>
            <w:tcW w:w="5763" w:type="dxa"/>
          </w:tcPr>
          <w:p w:rsidR="00A22DF3" w:rsidRDefault="00A22DF3" w:rsidP="001C59B5">
            <w:pPr>
              <w:pStyle w:val="TableText"/>
              <w:spacing w:before="40" w:after="40"/>
            </w:pPr>
            <w:r>
              <w:t>Whether an alteration, aid of appliance is reasonably priced</w:t>
            </w:r>
          </w:p>
        </w:tc>
      </w:tr>
      <w:tr w:rsidR="00A22DF3" w:rsidTr="000B3C1A">
        <w:trPr>
          <w:cantSplit/>
        </w:trPr>
        <w:tc>
          <w:tcPr>
            <w:tcW w:w="1092" w:type="dxa"/>
          </w:tcPr>
          <w:p w:rsidR="00A22DF3" w:rsidRDefault="00A22DF3" w:rsidP="001C59B5">
            <w:pPr>
              <w:pStyle w:val="TableText"/>
              <w:spacing w:before="40" w:after="40"/>
            </w:pPr>
            <w:r>
              <w:t>58</w:t>
            </w:r>
          </w:p>
        </w:tc>
        <w:tc>
          <w:tcPr>
            <w:tcW w:w="1093" w:type="dxa"/>
          </w:tcPr>
          <w:p w:rsidR="00A22DF3" w:rsidRDefault="00A22DF3" w:rsidP="001C59B5">
            <w:pPr>
              <w:pStyle w:val="TableText"/>
              <w:spacing w:before="40" w:after="40"/>
            </w:pPr>
            <w:r>
              <w:t>333</w:t>
            </w:r>
          </w:p>
        </w:tc>
        <w:tc>
          <w:tcPr>
            <w:tcW w:w="5763" w:type="dxa"/>
          </w:tcPr>
          <w:p w:rsidR="00A22DF3" w:rsidRDefault="00A22DF3" w:rsidP="001C59B5">
            <w:pPr>
              <w:pStyle w:val="TableText"/>
              <w:spacing w:before="40" w:after="40"/>
            </w:pPr>
            <w:r>
              <w:t>Amount of compensation for alteration, aid or appliance</w:t>
            </w:r>
          </w:p>
        </w:tc>
      </w:tr>
      <w:tr w:rsidR="00A22DF3" w:rsidTr="000B3C1A">
        <w:trPr>
          <w:cantSplit/>
        </w:trPr>
        <w:tc>
          <w:tcPr>
            <w:tcW w:w="1092" w:type="dxa"/>
          </w:tcPr>
          <w:p w:rsidR="00A22DF3" w:rsidRDefault="00A22DF3" w:rsidP="001C59B5">
            <w:pPr>
              <w:pStyle w:val="TableText"/>
              <w:spacing w:before="40" w:after="40"/>
            </w:pPr>
            <w:r>
              <w:t>61</w:t>
            </w:r>
          </w:p>
        </w:tc>
        <w:tc>
          <w:tcPr>
            <w:tcW w:w="1093" w:type="dxa"/>
          </w:tcPr>
          <w:p w:rsidR="00A22DF3" w:rsidRDefault="00A22DF3" w:rsidP="001C59B5">
            <w:pPr>
              <w:pStyle w:val="TableText"/>
              <w:spacing w:before="40" w:after="40"/>
            </w:pPr>
            <w:r>
              <w:t>61</w:t>
            </w:r>
          </w:p>
        </w:tc>
        <w:tc>
          <w:tcPr>
            <w:tcW w:w="5763" w:type="dxa"/>
          </w:tcPr>
          <w:p w:rsidR="00A22DF3" w:rsidRDefault="00A22DF3" w:rsidP="001C59B5">
            <w:pPr>
              <w:pStyle w:val="TableText"/>
              <w:spacing w:before="40" w:after="40"/>
            </w:pPr>
            <w:r>
              <w:t>Assist the person in finding suitable work</w:t>
            </w:r>
          </w:p>
        </w:tc>
      </w:tr>
      <w:tr w:rsidR="00A22DF3" w:rsidTr="000B3C1A">
        <w:trPr>
          <w:cantSplit/>
        </w:trPr>
        <w:tc>
          <w:tcPr>
            <w:tcW w:w="1092" w:type="dxa"/>
          </w:tcPr>
          <w:p w:rsidR="00A22DF3" w:rsidRDefault="00A22DF3" w:rsidP="001C59B5">
            <w:pPr>
              <w:pStyle w:val="TableText"/>
              <w:spacing w:before="40" w:after="40"/>
            </w:pPr>
            <w:r>
              <w:t>64</w:t>
            </w:r>
          </w:p>
        </w:tc>
        <w:tc>
          <w:tcPr>
            <w:tcW w:w="1093" w:type="dxa"/>
          </w:tcPr>
          <w:p w:rsidR="00A22DF3" w:rsidRDefault="00A22DF3" w:rsidP="001C59B5">
            <w:pPr>
              <w:pStyle w:val="TableText"/>
              <w:spacing w:before="40" w:after="40"/>
            </w:pPr>
            <w:r>
              <w:t>64</w:t>
            </w:r>
          </w:p>
        </w:tc>
        <w:tc>
          <w:tcPr>
            <w:tcW w:w="5763" w:type="dxa"/>
          </w:tcPr>
          <w:p w:rsidR="00A22DF3" w:rsidRDefault="00A22DF3" w:rsidP="001C59B5">
            <w:pPr>
              <w:pStyle w:val="TableText"/>
              <w:spacing w:before="40" w:after="40"/>
            </w:pPr>
            <w:r>
              <w:t>Appointment of a case manager</w:t>
            </w:r>
          </w:p>
        </w:tc>
      </w:tr>
      <w:tr w:rsidR="00A22DF3" w:rsidRPr="00A22DF3" w:rsidTr="000B3C1A">
        <w:trPr>
          <w:cantSplit/>
        </w:trPr>
        <w:tc>
          <w:tcPr>
            <w:tcW w:w="1092" w:type="dxa"/>
          </w:tcPr>
          <w:p w:rsidR="00A22DF3" w:rsidRPr="00A22DF3" w:rsidRDefault="00A22DF3" w:rsidP="001C59B5">
            <w:pPr>
              <w:pStyle w:val="TableText"/>
              <w:spacing w:before="40" w:after="40"/>
              <w:rPr>
                <w:b/>
              </w:rPr>
            </w:pPr>
            <w:r w:rsidRPr="00A22DF3">
              <w:rPr>
                <w:b/>
              </w:rPr>
              <w:t>Chapter 4</w:t>
            </w:r>
          </w:p>
        </w:tc>
        <w:tc>
          <w:tcPr>
            <w:tcW w:w="1093" w:type="dxa"/>
          </w:tcPr>
          <w:p w:rsidR="00A22DF3" w:rsidRPr="00A22DF3" w:rsidRDefault="00A22DF3" w:rsidP="001C59B5">
            <w:pPr>
              <w:pStyle w:val="TableText"/>
              <w:spacing w:before="40" w:after="40"/>
              <w:rPr>
                <w:b/>
              </w:rPr>
            </w:pPr>
          </w:p>
        </w:tc>
        <w:tc>
          <w:tcPr>
            <w:tcW w:w="5763" w:type="dxa"/>
          </w:tcPr>
          <w:p w:rsidR="00A22DF3" w:rsidRPr="00A22DF3" w:rsidRDefault="00A22DF3" w:rsidP="001C59B5">
            <w:pPr>
              <w:pStyle w:val="TableText"/>
              <w:spacing w:before="40" w:after="40"/>
              <w:rPr>
                <w:b/>
              </w:rPr>
            </w:pPr>
            <w:r w:rsidRPr="00A22DF3">
              <w:rPr>
                <w:b/>
              </w:rPr>
              <w:t>Compensation for members and former members</w:t>
            </w:r>
          </w:p>
        </w:tc>
      </w:tr>
      <w:tr w:rsidR="00A22DF3" w:rsidTr="000B3C1A">
        <w:trPr>
          <w:cantSplit/>
        </w:trPr>
        <w:tc>
          <w:tcPr>
            <w:tcW w:w="1092" w:type="dxa"/>
          </w:tcPr>
          <w:p w:rsidR="00A22DF3" w:rsidRDefault="00A22DF3" w:rsidP="001C59B5">
            <w:pPr>
              <w:pStyle w:val="TableText"/>
              <w:spacing w:before="40" w:after="40"/>
            </w:pPr>
            <w:r>
              <w:t>68</w:t>
            </w:r>
          </w:p>
        </w:tc>
        <w:tc>
          <w:tcPr>
            <w:tcW w:w="1093" w:type="dxa"/>
          </w:tcPr>
          <w:p w:rsidR="00A22DF3" w:rsidRDefault="00A22DF3" w:rsidP="001C59B5">
            <w:pPr>
              <w:pStyle w:val="TableText"/>
              <w:spacing w:before="40" w:after="40"/>
            </w:pPr>
            <w:r>
              <w:t>333</w:t>
            </w:r>
          </w:p>
        </w:tc>
        <w:tc>
          <w:tcPr>
            <w:tcW w:w="5763" w:type="dxa"/>
          </w:tcPr>
          <w:p w:rsidR="00A22DF3" w:rsidRDefault="00A22DF3" w:rsidP="001C59B5">
            <w:pPr>
              <w:pStyle w:val="TableText"/>
              <w:spacing w:before="40" w:after="40"/>
            </w:pPr>
            <w:r>
              <w:t>Whether the person suffers an impairment that is permanent and stabilised</w:t>
            </w:r>
          </w:p>
        </w:tc>
      </w:tr>
      <w:tr w:rsidR="00A22DF3" w:rsidTr="000B3C1A">
        <w:trPr>
          <w:cantSplit/>
        </w:trPr>
        <w:tc>
          <w:tcPr>
            <w:tcW w:w="1092" w:type="dxa"/>
          </w:tcPr>
          <w:p w:rsidR="00A22DF3" w:rsidRDefault="00A22DF3" w:rsidP="001C59B5">
            <w:pPr>
              <w:pStyle w:val="TableText"/>
              <w:spacing w:before="40" w:after="40"/>
            </w:pPr>
            <w:r>
              <w:t>68</w:t>
            </w:r>
          </w:p>
        </w:tc>
        <w:tc>
          <w:tcPr>
            <w:tcW w:w="1093" w:type="dxa"/>
          </w:tcPr>
          <w:p w:rsidR="00A22DF3" w:rsidRDefault="00A22DF3" w:rsidP="001C59B5">
            <w:pPr>
              <w:pStyle w:val="TableText"/>
              <w:spacing w:before="40" w:after="40"/>
            </w:pPr>
            <w:r>
              <w:t>333</w:t>
            </w:r>
          </w:p>
        </w:tc>
        <w:tc>
          <w:tcPr>
            <w:tcW w:w="5763" w:type="dxa"/>
          </w:tcPr>
          <w:p w:rsidR="00A22DF3" w:rsidRDefault="00A22DF3" w:rsidP="001C59B5">
            <w:pPr>
              <w:pStyle w:val="TableText"/>
              <w:spacing w:before="40" w:after="40"/>
            </w:pPr>
            <w:r>
              <w:t>Degree of impairment</w:t>
            </w:r>
          </w:p>
        </w:tc>
      </w:tr>
      <w:tr w:rsidR="00A22DF3" w:rsidTr="000B3C1A">
        <w:trPr>
          <w:cantSplit/>
        </w:trPr>
        <w:tc>
          <w:tcPr>
            <w:tcW w:w="1092" w:type="dxa"/>
          </w:tcPr>
          <w:p w:rsidR="00A22DF3" w:rsidRDefault="00A22DF3" w:rsidP="001C59B5">
            <w:pPr>
              <w:pStyle w:val="TableText"/>
              <w:spacing w:before="40" w:after="40"/>
            </w:pPr>
            <w:r>
              <w:t>68</w:t>
            </w:r>
          </w:p>
        </w:tc>
        <w:tc>
          <w:tcPr>
            <w:tcW w:w="1093" w:type="dxa"/>
          </w:tcPr>
          <w:p w:rsidR="00A22DF3" w:rsidRDefault="00A22DF3" w:rsidP="001C59B5">
            <w:pPr>
              <w:pStyle w:val="TableText"/>
              <w:spacing w:before="40" w:after="40"/>
            </w:pPr>
            <w:r>
              <w:t>333</w:t>
            </w:r>
          </w:p>
        </w:tc>
        <w:tc>
          <w:tcPr>
            <w:tcW w:w="5763" w:type="dxa"/>
          </w:tcPr>
          <w:p w:rsidR="00A22DF3" w:rsidRDefault="00A22DF3" w:rsidP="001C59B5">
            <w:pPr>
              <w:pStyle w:val="TableText"/>
              <w:spacing w:before="40" w:after="40"/>
            </w:pPr>
            <w:r>
              <w:t>Date on which the person became entitled to compensation under s68</w:t>
            </w:r>
          </w:p>
        </w:tc>
      </w:tr>
      <w:tr w:rsidR="00A22DF3" w:rsidTr="000B3C1A">
        <w:trPr>
          <w:cantSplit/>
        </w:trPr>
        <w:tc>
          <w:tcPr>
            <w:tcW w:w="1092" w:type="dxa"/>
          </w:tcPr>
          <w:p w:rsidR="00A22DF3" w:rsidRDefault="00A22DF3" w:rsidP="001C59B5">
            <w:pPr>
              <w:pStyle w:val="TableText"/>
              <w:spacing w:before="40" w:after="40"/>
            </w:pPr>
            <w:r>
              <w:t>71</w:t>
            </w:r>
          </w:p>
        </w:tc>
        <w:tc>
          <w:tcPr>
            <w:tcW w:w="1093" w:type="dxa"/>
          </w:tcPr>
          <w:p w:rsidR="00A22DF3" w:rsidRDefault="00A22DF3" w:rsidP="001C59B5">
            <w:pPr>
              <w:pStyle w:val="TableText"/>
              <w:spacing w:before="40" w:after="40"/>
            </w:pPr>
            <w:r>
              <w:t>33</w:t>
            </w:r>
          </w:p>
        </w:tc>
        <w:tc>
          <w:tcPr>
            <w:tcW w:w="5763" w:type="dxa"/>
          </w:tcPr>
          <w:p w:rsidR="00A22DF3" w:rsidRDefault="00A22DF3" w:rsidP="001C59B5">
            <w:pPr>
              <w:pStyle w:val="TableText"/>
              <w:spacing w:before="40" w:after="40"/>
            </w:pPr>
            <w:r>
              <w:t>Additional compensation</w:t>
            </w:r>
          </w:p>
        </w:tc>
      </w:tr>
      <w:tr w:rsidR="00A22DF3" w:rsidTr="000B3C1A">
        <w:trPr>
          <w:cantSplit/>
        </w:trPr>
        <w:tc>
          <w:tcPr>
            <w:tcW w:w="1092" w:type="dxa"/>
          </w:tcPr>
          <w:p w:rsidR="00A22DF3" w:rsidRDefault="00A22DF3" w:rsidP="001C59B5">
            <w:pPr>
              <w:pStyle w:val="TableText"/>
              <w:spacing w:before="40" w:after="40"/>
            </w:pPr>
            <w:r>
              <w:t>74</w:t>
            </w:r>
          </w:p>
        </w:tc>
        <w:tc>
          <w:tcPr>
            <w:tcW w:w="1093" w:type="dxa"/>
          </w:tcPr>
          <w:p w:rsidR="00A22DF3" w:rsidRDefault="00A22DF3" w:rsidP="001C59B5">
            <w:pPr>
              <w:pStyle w:val="TableText"/>
              <w:spacing w:before="40" w:after="40"/>
            </w:pPr>
            <w:r>
              <w:t>333</w:t>
            </w:r>
          </w:p>
        </w:tc>
        <w:tc>
          <w:tcPr>
            <w:tcW w:w="5763" w:type="dxa"/>
          </w:tcPr>
          <w:p w:rsidR="00A22DF3" w:rsidRDefault="00A22DF3" w:rsidP="00A22DF3">
            <w:pPr>
              <w:pStyle w:val="TableText"/>
              <w:spacing w:before="40" w:after="40"/>
            </w:pPr>
            <w:r>
              <w:t>The effect on lifestyle</w:t>
            </w:r>
          </w:p>
        </w:tc>
      </w:tr>
      <w:tr w:rsidR="00A22DF3" w:rsidTr="000B3C1A">
        <w:trPr>
          <w:cantSplit/>
        </w:trPr>
        <w:tc>
          <w:tcPr>
            <w:tcW w:w="1092" w:type="dxa"/>
          </w:tcPr>
          <w:p w:rsidR="00A22DF3" w:rsidRDefault="00A22DF3" w:rsidP="001C59B5">
            <w:pPr>
              <w:pStyle w:val="TableText"/>
              <w:spacing w:before="40" w:after="40"/>
            </w:pPr>
            <w:r>
              <w:t>75</w:t>
            </w:r>
          </w:p>
        </w:tc>
        <w:tc>
          <w:tcPr>
            <w:tcW w:w="1093" w:type="dxa"/>
          </w:tcPr>
          <w:p w:rsidR="00A22DF3" w:rsidRDefault="00A22DF3" w:rsidP="001C59B5">
            <w:pPr>
              <w:pStyle w:val="TableText"/>
              <w:spacing w:before="40" w:after="40"/>
            </w:pPr>
            <w:r>
              <w:t>333</w:t>
            </w:r>
          </w:p>
        </w:tc>
        <w:tc>
          <w:tcPr>
            <w:tcW w:w="5763" w:type="dxa"/>
          </w:tcPr>
          <w:p w:rsidR="00A22DF3" w:rsidRDefault="00A22DF3" w:rsidP="00A22DF3">
            <w:pPr>
              <w:pStyle w:val="TableText"/>
              <w:spacing w:before="40" w:after="40"/>
            </w:pPr>
            <w:r>
              <w:t>Interim compensation</w:t>
            </w:r>
          </w:p>
        </w:tc>
      </w:tr>
      <w:tr w:rsidR="00A22DF3" w:rsidTr="000B3C1A">
        <w:trPr>
          <w:cantSplit/>
        </w:trPr>
        <w:tc>
          <w:tcPr>
            <w:tcW w:w="1092" w:type="dxa"/>
          </w:tcPr>
          <w:p w:rsidR="00A22DF3" w:rsidRDefault="00A22DF3" w:rsidP="001C59B5">
            <w:pPr>
              <w:pStyle w:val="TableText"/>
              <w:spacing w:before="40" w:after="40"/>
            </w:pPr>
            <w:r>
              <w:t>78</w:t>
            </w:r>
          </w:p>
        </w:tc>
        <w:tc>
          <w:tcPr>
            <w:tcW w:w="1093" w:type="dxa"/>
          </w:tcPr>
          <w:p w:rsidR="00A22DF3" w:rsidRDefault="00A22DF3" w:rsidP="001C59B5">
            <w:pPr>
              <w:pStyle w:val="TableText"/>
              <w:spacing w:before="40" w:after="40"/>
            </w:pPr>
            <w:r>
              <w:t>78</w:t>
            </w:r>
          </w:p>
        </w:tc>
        <w:tc>
          <w:tcPr>
            <w:tcW w:w="5763" w:type="dxa"/>
          </w:tcPr>
          <w:p w:rsidR="00A22DF3" w:rsidRDefault="00A22DF3" w:rsidP="00A22DF3">
            <w:pPr>
              <w:pStyle w:val="TableText"/>
              <w:spacing w:before="40" w:after="40"/>
            </w:pPr>
            <w:r>
              <w:t>Whether to extend the choice period</w:t>
            </w:r>
          </w:p>
        </w:tc>
      </w:tr>
      <w:tr w:rsidR="00A22DF3" w:rsidTr="000B3C1A">
        <w:trPr>
          <w:cantSplit/>
        </w:trPr>
        <w:tc>
          <w:tcPr>
            <w:tcW w:w="1092" w:type="dxa"/>
          </w:tcPr>
          <w:p w:rsidR="00A22DF3" w:rsidRDefault="00A22DF3" w:rsidP="001C59B5">
            <w:pPr>
              <w:pStyle w:val="TableText"/>
              <w:spacing w:before="40" w:after="40"/>
            </w:pPr>
            <w:r>
              <w:t>82</w:t>
            </w:r>
          </w:p>
        </w:tc>
        <w:tc>
          <w:tcPr>
            <w:tcW w:w="1093" w:type="dxa"/>
          </w:tcPr>
          <w:p w:rsidR="00A22DF3" w:rsidRDefault="00A22DF3" w:rsidP="001C59B5">
            <w:pPr>
              <w:pStyle w:val="TableText"/>
              <w:spacing w:before="40" w:after="40"/>
            </w:pPr>
            <w:r>
              <w:t>333</w:t>
            </w:r>
          </w:p>
        </w:tc>
        <w:tc>
          <w:tcPr>
            <w:tcW w:w="5763" w:type="dxa"/>
          </w:tcPr>
          <w:p w:rsidR="00A22DF3" w:rsidRDefault="00A22DF3" w:rsidP="00A22DF3">
            <w:pPr>
              <w:pStyle w:val="TableText"/>
              <w:spacing w:before="40" w:after="40"/>
            </w:pPr>
            <w:r>
              <w:t>Amount of compensation for financial advice</w:t>
            </w:r>
          </w:p>
        </w:tc>
      </w:tr>
      <w:tr w:rsidR="00A22DF3" w:rsidTr="000B3C1A">
        <w:trPr>
          <w:cantSplit/>
        </w:trPr>
        <w:tc>
          <w:tcPr>
            <w:tcW w:w="1092" w:type="dxa"/>
          </w:tcPr>
          <w:p w:rsidR="00A22DF3" w:rsidRDefault="00A22DF3" w:rsidP="001C59B5">
            <w:pPr>
              <w:pStyle w:val="TableText"/>
              <w:spacing w:before="40" w:after="40"/>
            </w:pPr>
            <w:r>
              <w:t>89</w:t>
            </w:r>
          </w:p>
        </w:tc>
        <w:tc>
          <w:tcPr>
            <w:tcW w:w="1093" w:type="dxa"/>
          </w:tcPr>
          <w:p w:rsidR="00A22DF3" w:rsidRDefault="00A22DF3" w:rsidP="001C59B5">
            <w:pPr>
              <w:pStyle w:val="TableText"/>
              <w:spacing w:before="40" w:after="40"/>
            </w:pPr>
            <w:r>
              <w:t>333</w:t>
            </w:r>
          </w:p>
        </w:tc>
        <w:tc>
          <w:tcPr>
            <w:tcW w:w="5763" w:type="dxa"/>
          </w:tcPr>
          <w:p w:rsidR="00A22DF3" w:rsidRDefault="00A22DF3" w:rsidP="00741668">
            <w:pPr>
              <w:pStyle w:val="TableText"/>
              <w:spacing w:before="40" w:after="40"/>
            </w:pPr>
            <w:r>
              <w:t>Amount of compensation for incapacity</w:t>
            </w:r>
            <w:r w:rsidR="00741668">
              <w:fldChar w:fldCharType="begin"/>
            </w:r>
            <w:r w:rsidR="00741668">
              <w:instrText xml:space="preserve"> XE "</w:instrText>
            </w:r>
            <w:r w:rsidR="00741668" w:rsidRPr="003924C2">
              <w:instrText>incapacity for service</w:instrText>
            </w:r>
            <w:r w:rsidR="00741668">
              <w:instrText xml:space="preserve">" \r "TOC_incapacity" </w:instrText>
            </w:r>
            <w:r w:rsidR="00741668">
              <w:fldChar w:fldCharType="end"/>
            </w:r>
            <w:r w:rsidR="00741668">
              <w:fldChar w:fldCharType="begin"/>
            </w:r>
            <w:r w:rsidR="00741668">
              <w:instrText xml:space="preserve"> XE "</w:instrText>
            </w:r>
            <w:r w:rsidR="00741668" w:rsidRPr="003924C2">
              <w:instrText xml:space="preserve">incapacity for </w:instrText>
            </w:r>
            <w:r w:rsidR="00741668">
              <w:instrText xml:space="preserve">work" \r "TOC_incapacity" </w:instrText>
            </w:r>
            <w:r w:rsidR="00741668">
              <w:fldChar w:fldCharType="end"/>
            </w:r>
            <w:r>
              <w:t xml:space="preserve"> for service or work for members</w:t>
            </w:r>
          </w:p>
        </w:tc>
      </w:tr>
      <w:tr w:rsidR="00A22DF3" w:rsidTr="000B3C1A">
        <w:trPr>
          <w:cantSplit/>
        </w:trPr>
        <w:tc>
          <w:tcPr>
            <w:tcW w:w="1092" w:type="dxa"/>
          </w:tcPr>
          <w:p w:rsidR="00A22DF3" w:rsidRDefault="00A22DF3" w:rsidP="001C59B5">
            <w:pPr>
              <w:pStyle w:val="TableText"/>
              <w:spacing w:before="40" w:after="40"/>
            </w:pPr>
            <w:r>
              <w:t>118</w:t>
            </w:r>
          </w:p>
        </w:tc>
        <w:tc>
          <w:tcPr>
            <w:tcW w:w="1093" w:type="dxa"/>
          </w:tcPr>
          <w:p w:rsidR="00A22DF3" w:rsidRDefault="00A22DF3" w:rsidP="001C59B5">
            <w:pPr>
              <w:pStyle w:val="TableText"/>
              <w:spacing w:before="40" w:after="40"/>
            </w:pPr>
            <w:r>
              <w:t>333</w:t>
            </w:r>
          </w:p>
        </w:tc>
        <w:tc>
          <w:tcPr>
            <w:tcW w:w="5763" w:type="dxa"/>
          </w:tcPr>
          <w:p w:rsidR="00A22DF3" w:rsidRDefault="00A22DF3" w:rsidP="00A22DF3">
            <w:pPr>
              <w:pStyle w:val="TableText"/>
              <w:spacing w:before="40" w:after="40"/>
            </w:pPr>
            <w:r>
              <w:t>Amount of compensation for incapacity for service or work for former members</w:t>
            </w:r>
          </w:p>
        </w:tc>
      </w:tr>
      <w:tr w:rsidR="00A22DF3" w:rsidTr="000B3C1A">
        <w:trPr>
          <w:cantSplit/>
        </w:trPr>
        <w:tc>
          <w:tcPr>
            <w:tcW w:w="1092" w:type="dxa"/>
          </w:tcPr>
          <w:p w:rsidR="00A22DF3" w:rsidRDefault="00A22DF3" w:rsidP="001C59B5">
            <w:pPr>
              <w:pStyle w:val="TableText"/>
              <w:spacing w:before="40" w:after="40"/>
            </w:pPr>
            <w:r>
              <w:t>201</w:t>
            </w:r>
          </w:p>
        </w:tc>
        <w:tc>
          <w:tcPr>
            <w:tcW w:w="1093" w:type="dxa"/>
          </w:tcPr>
          <w:p w:rsidR="00A22DF3" w:rsidRDefault="00A22DF3" w:rsidP="001C59B5">
            <w:pPr>
              <w:pStyle w:val="TableText"/>
              <w:spacing w:before="40" w:after="40"/>
            </w:pPr>
            <w:r>
              <w:t>201</w:t>
            </w:r>
          </w:p>
        </w:tc>
        <w:tc>
          <w:tcPr>
            <w:tcW w:w="5763" w:type="dxa"/>
          </w:tcPr>
          <w:p w:rsidR="00A22DF3" w:rsidRDefault="00A22DF3" w:rsidP="00A22DF3">
            <w:pPr>
              <w:pStyle w:val="TableText"/>
              <w:spacing w:before="40" w:after="40"/>
            </w:pPr>
            <w:r>
              <w:t>Whether to extend the choice period</w:t>
            </w:r>
          </w:p>
        </w:tc>
      </w:tr>
      <w:tr w:rsidR="00A22DF3" w:rsidTr="000B3C1A">
        <w:trPr>
          <w:cantSplit/>
        </w:trPr>
        <w:tc>
          <w:tcPr>
            <w:tcW w:w="1092" w:type="dxa"/>
          </w:tcPr>
          <w:p w:rsidR="00A22DF3" w:rsidRDefault="00A22DF3" w:rsidP="001C59B5">
            <w:pPr>
              <w:pStyle w:val="TableText"/>
              <w:spacing w:before="40" w:after="40"/>
            </w:pPr>
            <w:r>
              <w:t>203</w:t>
            </w:r>
          </w:p>
        </w:tc>
        <w:tc>
          <w:tcPr>
            <w:tcW w:w="1093" w:type="dxa"/>
          </w:tcPr>
          <w:p w:rsidR="00A22DF3" w:rsidRDefault="00A22DF3" w:rsidP="001C59B5">
            <w:pPr>
              <w:pStyle w:val="TableText"/>
              <w:spacing w:before="40" w:after="40"/>
            </w:pPr>
            <w:r>
              <w:t>333</w:t>
            </w:r>
          </w:p>
        </w:tc>
        <w:tc>
          <w:tcPr>
            <w:tcW w:w="5763" w:type="dxa"/>
          </w:tcPr>
          <w:p w:rsidR="00A22DF3" w:rsidRDefault="00A22DF3" w:rsidP="00A22DF3">
            <w:pPr>
              <w:pStyle w:val="TableText"/>
              <w:spacing w:before="40" w:after="40"/>
            </w:pPr>
            <w:r>
              <w:t>Whether to receive special rate</w:t>
            </w:r>
            <w:r w:rsidR="0005789C">
              <w:fldChar w:fldCharType="begin"/>
            </w:r>
            <w:r w:rsidR="0005789C">
              <w:instrText xml:space="preserve"> XE "</w:instrText>
            </w:r>
            <w:r w:rsidR="0005789C" w:rsidRPr="002D7689">
              <w:instrText>special rate</w:instrText>
            </w:r>
            <w:r w:rsidR="0005789C">
              <w:instrText xml:space="preserve">" </w:instrText>
            </w:r>
            <w:r w:rsidR="0005789C">
              <w:fldChar w:fldCharType="end"/>
            </w:r>
            <w:r>
              <w:t xml:space="preserve"> disability pension</w:t>
            </w:r>
          </w:p>
        </w:tc>
      </w:tr>
      <w:tr w:rsidR="00A22DF3" w:rsidTr="000B3C1A">
        <w:trPr>
          <w:cantSplit/>
        </w:trPr>
        <w:tc>
          <w:tcPr>
            <w:tcW w:w="1092" w:type="dxa"/>
          </w:tcPr>
          <w:p w:rsidR="00A22DF3" w:rsidRDefault="00A22DF3" w:rsidP="001C59B5">
            <w:pPr>
              <w:pStyle w:val="TableText"/>
              <w:spacing w:before="40" w:after="40"/>
            </w:pPr>
            <w:r>
              <w:t>206</w:t>
            </w:r>
          </w:p>
        </w:tc>
        <w:tc>
          <w:tcPr>
            <w:tcW w:w="1093" w:type="dxa"/>
          </w:tcPr>
          <w:p w:rsidR="00A22DF3" w:rsidRDefault="00A22DF3" w:rsidP="001C59B5">
            <w:pPr>
              <w:pStyle w:val="TableText"/>
              <w:spacing w:before="40" w:after="40"/>
            </w:pPr>
            <w:r>
              <w:t>333</w:t>
            </w:r>
          </w:p>
        </w:tc>
        <w:tc>
          <w:tcPr>
            <w:tcW w:w="5763" w:type="dxa"/>
          </w:tcPr>
          <w:p w:rsidR="00A22DF3" w:rsidRDefault="00A22DF3" w:rsidP="00A22DF3">
            <w:pPr>
              <w:pStyle w:val="TableText"/>
              <w:spacing w:before="40" w:after="40"/>
            </w:pPr>
            <w:r>
              <w:t>Amount of compensation for financial advice</w:t>
            </w:r>
          </w:p>
        </w:tc>
      </w:tr>
      <w:tr w:rsidR="00A22DF3" w:rsidTr="000B3C1A">
        <w:trPr>
          <w:cantSplit/>
        </w:trPr>
        <w:tc>
          <w:tcPr>
            <w:tcW w:w="1092" w:type="dxa"/>
          </w:tcPr>
          <w:p w:rsidR="00A22DF3" w:rsidRDefault="00A22DF3" w:rsidP="001C59B5">
            <w:pPr>
              <w:pStyle w:val="TableText"/>
              <w:spacing w:before="40" w:after="40"/>
            </w:pPr>
            <w:r>
              <w:t>212</w:t>
            </w:r>
          </w:p>
        </w:tc>
        <w:tc>
          <w:tcPr>
            <w:tcW w:w="1093" w:type="dxa"/>
          </w:tcPr>
          <w:p w:rsidR="00A22DF3" w:rsidRDefault="00A22DF3" w:rsidP="001C59B5">
            <w:pPr>
              <w:pStyle w:val="TableText"/>
              <w:spacing w:before="40" w:after="40"/>
            </w:pPr>
            <w:r>
              <w:t>333</w:t>
            </w:r>
          </w:p>
        </w:tc>
        <w:tc>
          <w:tcPr>
            <w:tcW w:w="5763" w:type="dxa"/>
          </w:tcPr>
          <w:p w:rsidR="00A22DF3" w:rsidRDefault="00A22DF3" w:rsidP="00A22DF3">
            <w:pPr>
              <w:pStyle w:val="TableText"/>
              <w:spacing w:before="40" w:after="40"/>
            </w:pPr>
            <w:r>
              <w:t>Compensation under the Motor Vehicle Compensation Scheme</w:t>
            </w:r>
          </w:p>
        </w:tc>
      </w:tr>
      <w:tr w:rsidR="00A22DF3" w:rsidTr="000B3C1A">
        <w:trPr>
          <w:cantSplit/>
        </w:trPr>
        <w:tc>
          <w:tcPr>
            <w:tcW w:w="1092" w:type="dxa"/>
          </w:tcPr>
          <w:p w:rsidR="00A22DF3" w:rsidRDefault="00A22DF3" w:rsidP="001C59B5">
            <w:pPr>
              <w:pStyle w:val="TableText"/>
              <w:spacing w:before="40" w:after="40"/>
            </w:pPr>
            <w:r>
              <w:t>214</w:t>
            </w:r>
          </w:p>
        </w:tc>
        <w:tc>
          <w:tcPr>
            <w:tcW w:w="1093" w:type="dxa"/>
          </w:tcPr>
          <w:p w:rsidR="00A22DF3" w:rsidRDefault="00A22DF3" w:rsidP="001C59B5">
            <w:pPr>
              <w:pStyle w:val="TableText"/>
              <w:spacing w:before="40" w:after="40"/>
            </w:pPr>
            <w:r>
              <w:t>333</w:t>
            </w:r>
          </w:p>
        </w:tc>
        <w:tc>
          <w:tcPr>
            <w:tcW w:w="5763" w:type="dxa"/>
          </w:tcPr>
          <w:p w:rsidR="00A22DF3" w:rsidRDefault="00A22DF3" w:rsidP="00A22DF3">
            <w:pPr>
              <w:pStyle w:val="TableText"/>
              <w:spacing w:before="40" w:after="40"/>
            </w:pPr>
            <w:r>
              <w:t>Compensation for household services</w:t>
            </w:r>
          </w:p>
        </w:tc>
      </w:tr>
      <w:tr w:rsidR="00A22DF3" w:rsidTr="000B3C1A">
        <w:trPr>
          <w:cantSplit/>
        </w:trPr>
        <w:tc>
          <w:tcPr>
            <w:tcW w:w="1092" w:type="dxa"/>
          </w:tcPr>
          <w:p w:rsidR="00A22DF3" w:rsidRDefault="00A22DF3" w:rsidP="001C59B5">
            <w:pPr>
              <w:pStyle w:val="TableText"/>
              <w:spacing w:before="40" w:after="40"/>
            </w:pPr>
            <w:r>
              <w:t>217</w:t>
            </w:r>
          </w:p>
        </w:tc>
        <w:tc>
          <w:tcPr>
            <w:tcW w:w="1093" w:type="dxa"/>
          </w:tcPr>
          <w:p w:rsidR="00A22DF3" w:rsidRDefault="00A22DF3" w:rsidP="001C59B5">
            <w:pPr>
              <w:pStyle w:val="TableText"/>
              <w:spacing w:before="40" w:after="40"/>
            </w:pPr>
            <w:r>
              <w:t>333</w:t>
            </w:r>
          </w:p>
        </w:tc>
        <w:tc>
          <w:tcPr>
            <w:tcW w:w="5763" w:type="dxa"/>
          </w:tcPr>
          <w:p w:rsidR="00A22DF3" w:rsidRDefault="00A22DF3" w:rsidP="00A22DF3">
            <w:pPr>
              <w:pStyle w:val="TableText"/>
              <w:spacing w:before="40" w:after="40"/>
            </w:pPr>
            <w:r>
              <w:t>Compensation for Attendant care services</w:t>
            </w:r>
          </w:p>
        </w:tc>
      </w:tr>
      <w:tr w:rsidR="00A22DF3" w:rsidTr="000B3C1A">
        <w:trPr>
          <w:cantSplit/>
        </w:trPr>
        <w:tc>
          <w:tcPr>
            <w:tcW w:w="1092" w:type="dxa"/>
          </w:tcPr>
          <w:p w:rsidR="00A22DF3" w:rsidRDefault="00A22DF3" w:rsidP="001C59B5">
            <w:pPr>
              <w:pStyle w:val="TableText"/>
              <w:spacing w:before="40" w:after="40"/>
            </w:pPr>
            <w:r>
              <w:t>221</w:t>
            </w:r>
          </w:p>
        </w:tc>
        <w:tc>
          <w:tcPr>
            <w:tcW w:w="1093" w:type="dxa"/>
          </w:tcPr>
          <w:p w:rsidR="00A22DF3" w:rsidRDefault="00A22DF3" w:rsidP="001C59B5">
            <w:pPr>
              <w:pStyle w:val="TableText"/>
              <w:spacing w:before="40" w:after="40"/>
            </w:pPr>
            <w:r>
              <w:t>333</w:t>
            </w:r>
          </w:p>
        </w:tc>
        <w:tc>
          <w:tcPr>
            <w:tcW w:w="5763" w:type="dxa"/>
          </w:tcPr>
          <w:p w:rsidR="00A22DF3" w:rsidRDefault="00A22DF3" w:rsidP="00A22DF3">
            <w:pPr>
              <w:pStyle w:val="TableText"/>
              <w:spacing w:before="40" w:after="40"/>
            </w:pPr>
            <w:r>
              <w:t>Telephone allowance</w:t>
            </w:r>
          </w:p>
        </w:tc>
      </w:tr>
      <w:tr w:rsidR="00A22DF3" w:rsidTr="000B3C1A">
        <w:trPr>
          <w:cantSplit/>
        </w:trPr>
        <w:tc>
          <w:tcPr>
            <w:tcW w:w="1092" w:type="dxa"/>
          </w:tcPr>
          <w:p w:rsidR="00A22DF3" w:rsidRDefault="00A22DF3" w:rsidP="001C59B5">
            <w:pPr>
              <w:pStyle w:val="TableText"/>
              <w:spacing w:before="40" w:after="40"/>
            </w:pPr>
            <w:r>
              <w:t>226</w:t>
            </w:r>
          </w:p>
        </w:tc>
        <w:tc>
          <w:tcPr>
            <w:tcW w:w="1093" w:type="dxa"/>
          </w:tcPr>
          <w:p w:rsidR="00A22DF3" w:rsidRDefault="00A22DF3" w:rsidP="001C59B5">
            <w:pPr>
              <w:pStyle w:val="TableText"/>
              <w:spacing w:before="40" w:after="40"/>
            </w:pPr>
            <w:r>
              <w:t>333</w:t>
            </w:r>
          </w:p>
        </w:tc>
        <w:tc>
          <w:tcPr>
            <w:tcW w:w="5763" w:type="dxa"/>
          </w:tcPr>
          <w:p w:rsidR="00A22DF3" w:rsidRDefault="00A22DF3" w:rsidP="00A22DF3">
            <w:pPr>
              <w:pStyle w:val="TableText"/>
              <w:spacing w:before="40" w:after="40"/>
            </w:pPr>
            <w:r>
              <w:t>Compensation for loss of, or damage to, medical aids</w:t>
            </w:r>
          </w:p>
        </w:tc>
      </w:tr>
      <w:tr w:rsidR="00A22DF3" w:rsidRPr="00A22DF3" w:rsidTr="000B3C1A">
        <w:trPr>
          <w:cantSplit/>
        </w:trPr>
        <w:tc>
          <w:tcPr>
            <w:tcW w:w="1092" w:type="dxa"/>
          </w:tcPr>
          <w:p w:rsidR="00A22DF3" w:rsidRPr="00A22DF3" w:rsidRDefault="00A22DF3" w:rsidP="001C59B5">
            <w:pPr>
              <w:pStyle w:val="TableText"/>
              <w:spacing w:before="40" w:after="40"/>
              <w:rPr>
                <w:b/>
              </w:rPr>
            </w:pPr>
            <w:r w:rsidRPr="00A22DF3">
              <w:rPr>
                <w:b/>
              </w:rPr>
              <w:t>Chapter 5</w:t>
            </w:r>
          </w:p>
        </w:tc>
        <w:tc>
          <w:tcPr>
            <w:tcW w:w="1093" w:type="dxa"/>
          </w:tcPr>
          <w:p w:rsidR="00A22DF3" w:rsidRPr="00A22DF3" w:rsidRDefault="00A22DF3" w:rsidP="001C59B5">
            <w:pPr>
              <w:pStyle w:val="TableText"/>
              <w:spacing w:before="40" w:after="40"/>
              <w:rPr>
                <w:b/>
              </w:rPr>
            </w:pPr>
          </w:p>
        </w:tc>
        <w:tc>
          <w:tcPr>
            <w:tcW w:w="5763" w:type="dxa"/>
          </w:tcPr>
          <w:p w:rsidR="00A22DF3" w:rsidRPr="00A22DF3" w:rsidRDefault="00A22DF3" w:rsidP="00A22DF3">
            <w:pPr>
              <w:pStyle w:val="TableText"/>
              <w:spacing w:before="40" w:after="40"/>
              <w:rPr>
                <w:b/>
              </w:rPr>
            </w:pPr>
            <w:r w:rsidRPr="00A22DF3">
              <w:rPr>
                <w:b/>
              </w:rPr>
              <w:t>Compensation for dependants</w:t>
            </w:r>
          </w:p>
        </w:tc>
      </w:tr>
      <w:tr w:rsidR="00A22DF3" w:rsidTr="000B3C1A">
        <w:trPr>
          <w:cantSplit/>
        </w:trPr>
        <w:tc>
          <w:tcPr>
            <w:tcW w:w="1092" w:type="dxa"/>
          </w:tcPr>
          <w:p w:rsidR="00A22DF3" w:rsidRDefault="00A22DF3" w:rsidP="001C59B5">
            <w:pPr>
              <w:pStyle w:val="TableText"/>
              <w:spacing w:before="40" w:after="40"/>
            </w:pPr>
            <w:r>
              <w:t>233</w:t>
            </w:r>
          </w:p>
        </w:tc>
        <w:tc>
          <w:tcPr>
            <w:tcW w:w="1093" w:type="dxa"/>
          </w:tcPr>
          <w:p w:rsidR="00A22DF3" w:rsidRDefault="00A22DF3" w:rsidP="001C59B5">
            <w:pPr>
              <w:pStyle w:val="TableText"/>
              <w:spacing w:before="40" w:after="40"/>
            </w:pPr>
            <w:r>
              <w:t>333</w:t>
            </w:r>
          </w:p>
        </w:tc>
        <w:tc>
          <w:tcPr>
            <w:tcW w:w="5763" w:type="dxa"/>
          </w:tcPr>
          <w:p w:rsidR="00A22DF3" w:rsidRDefault="00A22DF3" w:rsidP="00A22DF3">
            <w:pPr>
              <w:pStyle w:val="TableText"/>
              <w:spacing w:before="40" w:after="40"/>
            </w:pPr>
            <w:r>
              <w:t>Compensation for wholly dependent partners re death</w:t>
            </w:r>
          </w:p>
        </w:tc>
      </w:tr>
      <w:tr w:rsidR="00A22DF3" w:rsidTr="000B3C1A">
        <w:trPr>
          <w:cantSplit/>
        </w:trPr>
        <w:tc>
          <w:tcPr>
            <w:tcW w:w="1092" w:type="dxa"/>
          </w:tcPr>
          <w:p w:rsidR="00A22DF3" w:rsidRDefault="00A22DF3" w:rsidP="001C59B5">
            <w:pPr>
              <w:pStyle w:val="TableText"/>
              <w:spacing w:before="40" w:after="40"/>
            </w:pPr>
            <w:r>
              <w:t>236</w:t>
            </w:r>
          </w:p>
        </w:tc>
        <w:tc>
          <w:tcPr>
            <w:tcW w:w="1093" w:type="dxa"/>
          </w:tcPr>
          <w:p w:rsidR="00A22DF3" w:rsidRDefault="00A22DF3" w:rsidP="001C59B5">
            <w:pPr>
              <w:pStyle w:val="TableText"/>
              <w:spacing w:before="40" w:after="40"/>
            </w:pPr>
            <w:r>
              <w:t>236</w:t>
            </w:r>
          </w:p>
        </w:tc>
        <w:tc>
          <w:tcPr>
            <w:tcW w:w="5763" w:type="dxa"/>
          </w:tcPr>
          <w:p w:rsidR="00A22DF3" w:rsidRDefault="00A22DF3" w:rsidP="00A22DF3">
            <w:pPr>
              <w:pStyle w:val="TableText"/>
              <w:spacing w:before="40" w:after="40"/>
            </w:pPr>
            <w:r>
              <w:t>Whether to extend the choice period</w:t>
            </w:r>
          </w:p>
        </w:tc>
      </w:tr>
      <w:tr w:rsidR="00A22DF3" w:rsidTr="000B3C1A">
        <w:trPr>
          <w:cantSplit/>
        </w:trPr>
        <w:tc>
          <w:tcPr>
            <w:tcW w:w="1092" w:type="dxa"/>
          </w:tcPr>
          <w:p w:rsidR="00A22DF3" w:rsidRDefault="00A22DF3" w:rsidP="001C59B5">
            <w:pPr>
              <w:pStyle w:val="TableText"/>
              <w:spacing w:before="40" w:after="40"/>
            </w:pPr>
            <w:r>
              <w:t>240</w:t>
            </w:r>
          </w:p>
        </w:tc>
        <w:tc>
          <w:tcPr>
            <w:tcW w:w="1093" w:type="dxa"/>
          </w:tcPr>
          <w:p w:rsidR="00A22DF3" w:rsidRDefault="00A22DF3" w:rsidP="001C59B5">
            <w:pPr>
              <w:pStyle w:val="TableText"/>
              <w:spacing w:before="40" w:after="40"/>
            </w:pPr>
            <w:r>
              <w:t>333</w:t>
            </w:r>
          </w:p>
        </w:tc>
        <w:tc>
          <w:tcPr>
            <w:tcW w:w="5763" w:type="dxa"/>
          </w:tcPr>
          <w:p w:rsidR="00A22DF3" w:rsidRDefault="00A22DF3" w:rsidP="00A22DF3">
            <w:pPr>
              <w:pStyle w:val="TableText"/>
              <w:spacing w:before="40" w:after="40"/>
            </w:pPr>
            <w:r>
              <w:t>Amount of compensation for financial advice</w:t>
            </w:r>
          </w:p>
        </w:tc>
      </w:tr>
      <w:tr w:rsidR="00A22DF3" w:rsidTr="000B3C1A">
        <w:trPr>
          <w:cantSplit/>
        </w:trPr>
        <w:tc>
          <w:tcPr>
            <w:tcW w:w="1092" w:type="dxa"/>
          </w:tcPr>
          <w:p w:rsidR="00A22DF3" w:rsidRDefault="00A22DF3" w:rsidP="001C59B5">
            <w:pPr>
              <w:pStyle w:val="TableText"/>
              <w:spacing w:before="40" w:after="40"/>
            </w:pPr>
            <w:r>
              <w:t>242</w:t>
            </w:r>
          </w:p>
        </w:tc>
        <w:tc>
          <w:tcPr>
            <w:tcW w:w="1093" w:type="dxa"/>
          </w:tcPr>
          <w:p w:rsidR="00A22DF3" w:rsidRDefault="00A22DF3" w:rsidP="001C59B5">
            <w:pPr>
              <w:pStyle w:val="TableText"/>
              <w:spacing w:before="40" w:after="40"/>
            </w:pPr>
            <w:r>
              <w:t>333</w:t>
            </w:r>
          </w:p>
        </w:tc>
        <w:tc>
          <w:tcPr>
            <w:tcW w:w="5763" w:type="dxa"/>
          </w:tcPr>
          <w:p w:rsidR="00A22DF3" w:rsidRDefault="00A22DF3" w:rsidP="00A22DF3">
            <w:pPr>
              <w:pStyle w:val="TableText"/>
              <w:spacing w:before="40" w:after="40"/>
            </w:pPr>
            <w:r>
              <w:t>Compensation for wholly dependent partners re permanent impairment and incapacity</w:t>
            </w:r>
          </w:p>
        </w:tc>
      </w:tr>
      <w:tr w:rsidR="00A22DF3" w:rsidTr="000B3C1A">
        <w:trPr>
          <w:cantSplit/>
        </w:trPr>
        <w:tc>
          <w:tcPr>
            <w:tcW w:w="1092" w:type="dxa"/>
          </w:tcPr>
          <w:p w:rsidR="00A22DF3" w:rsidRDefault="00A22DF3" w:rsidP="001C59B5">
            <w:pPr>
              <w:pStyle w:val="TableText"/>
              <w:spacing w:before="40" w:after="40"/>
            </w:pPr>
            <w:r>
              <w:t>244</w:t>
            </w:r>
          </w:p>
        </w:tc>
        <w:tc>
          <w:tcPr>
            <w:tcW w:w="1093" w:type="dxa"/>
          </w:tcPr>
          <w:p w:rsidR="00A22DF3" w:rsidRDefault="00A22DF3" w:rsidP="001C59B5">
            <w:pPr>
              <w:pStyle w:val="TableText"/>
              <w:spacing w:before="40" w:after="40"/>
            </w:pPr>
            <w:r>
              <w:t>333</w:t>
            </w:r>
          </w:p>
        </w:tc>
        <w:tc>
          <w:tcPr>
            <w:tcW w:w="5763" w:type="dxa"/>
          </w:tcPr>
          <w:p w:rsidR="00A22DF3" w:rsidRDefault="00A22DF3" w:rsidP="00A22DF3">
            <w:pPr>
              <w:pStyle w:val="TableText"/>
              <w:spacing w:before="40" w:after="40"/>
            </w:pPr>
            <w:r>
              <w:t>Directions re payment if 2 or more partners entitled to compensation</w:t>
            </w:r>
          </w:p>
        </w:tc>
      </w:tr>
      <w:tr w:rsidR="00A22DF3" w:rsidTr="000B3C1A">
        <w:trPr>
          <w:cantSplit/>
        </w:trPr>
        <w:tc>
          <w:tcPr>
            <w:tcW w:w="1092" w:type="dxa"/>
          </w:tcPr>
          <w:p w:rsidR="00A22DF3" w:rsidRDefault="00A22DF3" w:rsidP="001C59B5">
            <w:pPr>
              <w:pStyle w:val="TableText"/>
              <w:spacing w:before="40" w:after="40"/>
            </w:pPr>
            <w:r>
              <w:t>245</w:t>
            </w:r>
          </w:p>
        </w:tc>
        <w:tc>
          <w:tcPr>
            <w:tcW w:w="1093" w:type="dxa"/>
          </w:tcPr>
          <w:p w:rsidR="00A22DF3" w:rsidRDefault="00A22DF3" w:rsidP="001C59B5">
            <w:pPr>
              <w:pStyle w:val="TableText"/>
              <w:spacing w:before="40" w:after="40"/>
            </w:pPr>
            <w:r>
              <w:t>333</w:t>
            </w:r>
          </w:p>
        </w:tc>
        <w:tc>
          <w:tcPr>
            <w:tcW w:w="5763" w:type="dxa"/>
          </w:tcPr>
          <w:p w:rsidR="00A22DF3" w:rsidRDefault="00A22DF3" w:rsidP="00A22DF3">
            <w:pPr>
              <w:pStyle w:val="TableText"/>
              <w:spacing w:before="40" w:after="40"/>
            </w:pPr>
            <w:r>
              <w:t>Telephone allowance</w:t>
            </w:r>
          </w:p>
        </w:tc>
      </w:tr>
      <w:tr w:rsidR="00A22DF3" w:rsidTr="000B3C1A">
        <w:trPr>
          <w:cantSplit/>
        </w:trPr>
        <w:tc>
          <w:tcPr>
            <w:tcW w:w="1092" w:type="dxa"/>
          </w:tcPr>
          <w:p w:rsidR="00A22DF3" w:rsidRDefault="00A22DF3" w:rsidP="001C59B5">
            <w:pPr>
              <w:pStyle w:val="TableText"/>
              <w:spacing w:before="40" w:after="40"/>
            </w:pPr>
            <w:r>
              <w:t>251</w:t>
            </w:r>
          </w:p>
        </w:tc>
        <w:tc>
          <w:tcPr>
            <w:tcW w:w="1093" w:type="dxa"/>
          </w:tcPr>
          <w:p w:rsidR="00A22DF3" w:rsidRDefault="00A22DF3" w:rsidP="001C59B5">
            <w:pPr>
              <w:pStyle w:val="TableText"/>
              <w:spacing w:before="40" w:after="40"/>
            </w:pPr>
            <w:r>
              <w:t>333</w:t>
            </w:r>
          </w:p>
        </w:tc>
        <w:tc>
          <w:tcPr>
            <w:tcW w:w="5763" w:type="dxa"/>
          </w:tcPr>
          <w:p w:rsidR="00A22DF3" w:rsidRDefault="00A22DF3" w:rsidP="00A22DF3">
            <w:pPr>
              <w:pStyle w:val="TableText"/>
              <w:spacing w:before="40" w:after="40"/>
            </w:pPr>
            <w:r>
              <w:t xml:space="preserve">Compensation for </w:t>
            </w:r>
            <w:r w:rsidR="000B3C1A">
              <w:t>eligible</w:t>
            </w:r>
            <w:r>
              <w:t xml:space="preserve"> young person</w:t>
            </w:r>
            <w:r w:rsidR="000B3C1A">
              <w:t xml:space="preserve"> </w:t>
            </w:r>
            <w:r>
              <w:t>re death</w:t>
            </w:r>
          </w:p>
        </w:tc>
      </w:tr>
      <w:tr w:rsidR="00A22DF3" w:rsidTr="000B3C1A">
        <w:trPr>
          <w:cantSplit/>
        </w:trPr>
        <w:tc>
          <w:tcPr>
            <w:tcW w:w="1092" w:type="dxa"/>
          </w:tcPr>
          <w:p w:rsidR="00A22DF3" w:rsidRDefault="00A22DF3" w:rsidP="001C59B5">
            <w:pPr>
              <w:pStyle w:val="TableText"/>
              <w:spacing w:before="40" w:after="40"/>
            </w:pPr>
            <w:r>
              <w:t>255</w:t>
            </w:r>
          </w:p>
        </w:tc>
        <w:tc>
          <w:tcPr>
            <w:tcW w:w="1093" w:type="dxa"/>
          </w:tcPr>
          <w:p w:rsidR="00A22DF3" w:rsidRDefault="00A22DF3" w:rsidP="001C59B5">
            <w:pPr>
              <w:pStyle w:val="TableText"/>
              <w:spacing w:before="40" w:after="40"/>
            </w:pPr>
            <w:r>
              <w:t>333</w:t>
            </w:r>
          </w:p>
        </w:tc>
        <w:tc>
          <w:tcPr>
            <w:tcW w:w="5763" w:type="dxa"/>
          </w:tcPr>
          <w:p w:rsidR="00A22DF3" w:rsidRDefault="00A22DF3" w:rsidP="00A22DF3">
            <w:pPr>
              <w:pStyle w:val="TableText"/>
              <w:spacing w:before="40" w:after="40"/>
            </w:pPr>
            <w:r>
              <w:t>Compensation for eligible young person re permanent impairment and incapacity</w:t>
            </w:r>
          </w:p>
        </w:tc>
      </w:tr>
      <w:tr w:rsidR="00A22DF3" w:rsidTr="000B3C1A">
        <w:trPr>
          <w:cantSplit/>
        </w:trPr>
        <w:tc>
          <w:tcPr>
            <w:tcW w:w="1092" w:type="dxa"/>
          </w:tcPr>
          <w:p w:rsidR="00A22DF3" w:rsidRDefault="00A22DF3" w:rsidP="001C59B5">
            <w:pPr>
              <w:pStyle w:val="TableText"/>
              <w:spacing w:before="40" w:after="40"/>
            </w:pPr>
            <w:r>
              <w:t>257</w:t>
            </w:r>
          </w:p>
        </w:tc>
        <w:tc>
          <w:tcPr>
            <w:tcW w:w="1093" w:type="dxa"/>
          </w:tcPr>
          <w:p w:rsidR="00A22DF3" w:rsidRDefault="00A22DF3" w:rsidP="001C59B5">
            <w:pPr>
              <w:pStyle w:val="TableText"/>
              <w:spacing w:before="40" w:after="40"/>
            </w:pPr>
            <w:r>
              <w:t>333</w:t>
            </w:r>
          </w:p>
        </w:tc>
        <w:tc>
          <w:tcPr>
            <w:tcW w:w="5763" w:type="dxa"/>
          </w:tcPr>
          <w:p w:rsidR="00A22DF3" w:rsidRDefault="00A22DF3" w:rsidP="00A22DF3">
            <w:pPr>
              <w:pStyle w:val="TableText"/>
              <w:spacing w:before="40" w:after="40"/>
            </w:pPr>
            <w:r>
              <w:t>Directions re payment if 2 or more eligible young persons entitled to compensation</w:t>
            </w:r>
          </w:p>
        </w:tc>
      </w:tr>
      <w:tr w:rsidR="00A22DF3" w:rsidTr="000B3C1A">
        <w:trPr>
          <w:cantSplit/>
        </w:trPr>
        <w:tc>
          <w:tcPr>
            <w:tcW w:w="1092" w:type="dxa"/>
          </w:tcPr>
          <w:p w:rsidR="00A22DF3" w:rsidRDefault="00A22DF3" w:rsidP="001C59B5">
            <w:pPr>
              <w:pStyle w:val="TableText"/>
              <w:spacing w:before="40" w:after="40"/>
            </w:pPr>
            <w:r>
              <w:lastRenderedPageBreak/>
              <w:t>263</w:t>
            </w:r>
          </w:p>
        </w:tc>
        <w:tc>
          <w:tcPr>
            <w:tcW w:w="1093" w:type="dxa"/>
          </w:tcPr>
          <w:p w:rsidR="00A22DF3" w:rsidRDefault="00A22DF3" w:rsidP="001C59B5">
            <w:pPr>
              <w:pStyle w:val="TableText"/>
              <w:spacing w:before="40" w:after="40"/>
            </w:pPr>
            <w:r>
              <w:t>333</w:t>
            </w:r>
          </w:p>
        </w:tc>
        <w:tc>
          <w:tcPr>
            <w:tcW w:w="5763" w:type="dxa"/>
          </w:tcPr>
          <w:p w:rsidR="00A22DF3" w:rsidRDefault="00A22DF3" w:rsidP="00A22DF3">
            <w:pPr>
              <w:pStyle w:val="TableText"/>
              <w:spacing w:before="40" w:after="40"/>
            </w:pPr>
            <w:r>
              <w:t>Compensation for other dependants</w:t>
            </w:r>
          </w:p>
        </w:tc>
      </w:tr>
      <w:tr w:rsidR="00A22DF3" w:rsidTr="000B3C1A">
        <w:trPr>
          <w:cantSplit/>
        </w:trPr>
        <w:tc>
          <w:tcPr>
            <w:tcW w:w="1092" w:type="dxa"/>
          </w:tcPr>
          <w:p w:rsidR="00A22DF3" w:rsidRDefault="00A22DF3" w:rsidP="001C59B5">
            <w:pPr>
              <w:pStyle w:val="TableText"/>
              <w:spacing w:before="40" w:after="40"/>
            </w:pPr>
            <w:r>
              <w:t>267</w:t>
            </w:r>
          </w:p>
        </w:tc>
        <w:tc>
          <w:tcPr>
            <w:tcW w:w="1093" w:type="dxa"/>
          </w:tcPr>
          <w:p w:rsidR="00A22DF3" w:rsidRDefault="00A22DF3" w:rsidP="001C59B5">
            <w:pPr>
              <w:pStyle w:val="TableText"/>
              <w:spacing w:before="40" w:after="40"/>
            </w:pPr>
            <w:r>
              <w:t>333</w:t>
            </w:r>
          </w:p>
        </w:tc>
        <w:tc>
          <w:tcPr>
            <w:tcW w:w="5763" w:type="dxa"/>
          </w:tcPr>
          <w:p w:rsidR="00A22DF3" w:rsidRDefault="00A22DF3" w:rsidP="00A22DF3">
            <w:pPr>
              <w:pStyle w:val="TableText"/>
              <w:spacing w:before="40" w:after="40"/>
            </w:pPr>
            <w:r>
              <w:t>Funeral compensation</w:t>
            </w:r>
          </w:p>
        </w:tc>
      </w:tr>
      <w:tr w:rsidR="00A22DF3" w:rsidTr="000B3C1A">
        <w:trPr>
          <w:cantSplit/>
        </w:trPr>
        <w:tc>
          <w:tcPr>
            <w:tcW w:w="1092" w:type="dxa"/>
          </w:tcPr>
          <w:p w:rsidR="00A22DF3" w:rsidRPr="00A22DF3" w:rsidRDefault="00A22DF3" w:rsidP="001C59B5">
            <w:pPr>
              <w:pStyle w:val="TableText"/>
              <w:spacing w:before="40" w:after="40"/>
              <w:rPr>
                <w:b/>
              </w:rPr>
            </w:pPr>
            <w:r w:rsidRPr="00A22DF3">
              <w:rPr>
                <w:b/>
              </w:rPr>
              <w:t>Chapter 6</w:t>
            </w:r>
          </w:p>
        </w:tc>
        <w:tc>
          <w:tcPr>
            <w:tcW w:w="1093" w:type="dxa"/>
          </w:tcPr>
          <w:p w:rsidR="00A22DF3" w:rsidRPr="00A22DF3" w:rsidRDefault="00A22DF3" w:rsidP="001C59B5">
            <w:pPr>
              <w:pStyle w:val="TableText"/>
              <w:spacing w:before="40" w:after="40"/>
              <w:rPr>
                <w:b/>
              </w:rPr>
            </w:pPr>
          </w:p>
        </w:tc>
        <w:tc>
          <w:tcPr>
            <w:tcW w:w="5763" w:type="dxa"/>
          </w:tcPr>
          <w:p w:rsidR="00A22DF3" w:rsidRPr="00A22DF3" w:rsidRDefault="00A22DF3" w:rsidP="00A22DF3">
            <w:pPr>
              <w:pStyle w:val="TableText"/>
              <w:spacing w:before="40" w:after="40"/>
              <w:rPr>
                <w:b/>
              </w:rPr>
            </w:pPr>
            <w:r w:rsidRPr="00A22DF3">
              <w:rPr>
                <w:b/>
              </w:rPr>
              <w:t>Treatment</w:t>
            </w:r>
            <w:r w:rsidR="004A74AE" w:rsidRPr="004A74AE">
              <w:fldChar w:fldCharType="begin"/>
            </w:r>
            <w:r w:rsidR="004A74AE" w:rsidRPr="004A74AE">
              <w:instrText xml:space="preserve"> XE "treatment" \r "TOC_treatment" </w:instrText>
            </w:r>
            <w:r w:rsidR="004A74AE" w:rsidRPr="004A74AE">
              <w:fldChar w:fldCharType="end"/>
            </w:r>
          </w:p>
        </w:tc>
      </w:tr>
      <w:tr w:rsidR="00A22DF3" w:rsidTr="000B3C1A">
        <w:trPr>
          <w:cantSplit/>
        </w:trPr>
        <w:tc>
          <w:tcPr>
            <w:tcW w:w="1092" w:type="dxa"/>
          </w:tcPr>
          <w:p w:rsidR="00A22DF3" w:rsidRDefault="00A22DF3" w:rsidP="001C59B5">
            <w:pPr>
              <w:pStyle w:val="TableText"/>
              <w:spacing w:before="40" w:after="40"/>
            </w:pPr>
            <w:r>
              <w:t>271</w:t>
            </w:r>
          </w:p>
        </w:tc>
        <w:tc>
          <w:tcPr>
            <w:tcW w:w="1093" w:type="dxa"/>
          </w:tcPr>
          <w:p w:rsidR="00A22DF3" w:rsidRDefault="00A22DF3" w:rsidP="001C59B5">
            <w:pPr>
              <w:pStyle w:val="TableText"/>
              <w:spacing w:before="40" w:after="40"/>
            </w:pPr>
            <w:r>
              <w:t>276</w:t>
            </w:r>
          </w:p>
        </w:tc>
        <w:tc>
          <w:tcPr>
            <w:tcW w:w="5763" w:type="dxa"/>
          </w:tcPr>
          <w:p w:rsidR="00A22DF3" w:rsidRDefault="00A22DF3" w:rsidP="00A22DF3">
            <w:pPr>
              <w:pStyle w:val="TableText"/>
              <w:spacing w:before="40" w:after="40"/>
            </w:pPr>
            <w:r>
              <w:t>Compensation for cost of treatment under Part 2</w:t>
            </w:r>
          </w:p>
        </w:tc>
      </w:tr>
      <w:tr w:rsidR="00A22DF3" w:rsidTr="000B3C1A">
        <w:trPr>
          <w:cantSplit/>
        </w:trPr>
        <w:tc>
          <w:tcPr>
            <w:tcW w:w="1092" w:type="dxa"/>
          </w:tcPr>
          <w:p w:rsidR="00A22DF3" w:rsidRDefault="00F23A7B" w:rsidP="001C59B5">
            <w:pPr>
              <w:pStyle w:val="TableText"/>
              <w:spacing w:before="40" w:after="40"/>
            </w:pPr>
            <w:r>
              <w:t>273</w:t>
            </w:r>
          </w:p>
        </w:tc>
        <w:tc>
          <w:tcPr>
            <w:tcW w:w="1093" w:type="dxa"/>
          </w:tcPr>
          <w:p w:rsidR="00A22DF3" w:rsidRDefault="00F23A7B" w:rsidP="001C59B5">
            <w:pPr>
              <w:pStyle w:val="TableText"/>
              <w:spacing w:before="40" w:after="40"/>
            </w:pPr>
            <w:r>
              <w:t>276</w:t>
            </w:r>
          </w:p>
        </w:tc>
        <w:tc>
          <w:tcPr>
            <w:tcW w:w="5763" w:type="dxa"/>
          </w:tcPr>
          <w:p w:rsidR="00A22DF3" w:rsidRDefault="00F23A7B" w:rsidP="00A22DF3">
            <w:pPr>
              <w:pStyle w:val="TableText"/>
              <w:spacing w:before="40" w:after="40"/>
            </w:pPr>
            <w:r>
              <w:t>Compensation for cost of treatment before determination of entitlement under Part 3</w:t>
            </w:r>
          </w:p>
        </w:tc>
      </w:tr>
      <w:tr w:rsidR="00F23A7B" w:rsidTr="000B3C1A">
        <w:trPr>
          <w:cantSplit/>
        </w:trPr>
        <w:tc>
          <w:tcPr>
            <w:tcW w:w="1092" w:type="dxa"/>
          </w:tcPr>
          <w:p w:rsidR="00F23A7B" w:rsidRDefault="00F23A7B" w:rsidP="001C59B5">
            <w:pPr>
              <w:pStyle w:val="TableText"/>
              <w:spacing w:before="40" w:after="40"/>
            </w:pPr>
            <w:r>
              <w:t>291</w:t>
            </w:r>
          </w:p>
        </w:tc>
        <w:tc>
          <w:tcPr>
            <w:tcW w:w="1093" w:type="dxa"/>
          </w:tcPr>
          <w:p w:rsidR="00F23A7B" w:rsidRDefault="00F23A7B" w:rsidP="001C59B5">
            <w:pPr>
              <w:pStyle w:val="TableText"/>
              <w:spacing w:before="40" w:after="40"/>
            </w:pPr>
            <w:r>
              <w:t>333</w:t>
            </w:r>
          </w:p>
        </w:tc>
        <w:tc>
          <w:tcPr>
            <w:tcW w:w="5763" w:type="dxa"/>
          </w:tcPr>
          <w:p w:rsidR="00F23A7B" w:rsidRDefault="00F23A7B" w:rsidP="00A22DF3">
            <w:pPr>
              <w:pStyle w:val="TableText"/>
              <w:spacing w:before="40" w:after="40"/>
            </w:pPr>
            <w:r>
              <w:t>Compensation for cost of accommodation relating to treatment</w:t>
            </w:r>
          </w:p>
        </w:tc>
      </w:tr>
      <w:tr w:rsidR="00F23A7B" w:rsidTr="000B3C1A">
        <w:trPr>
          <w:cantSplit/>
        </w:trPr>
        <w:tc>
          <w:tcPr>
            <w:tcW w:w="1092" w:type="dxa"/>
          </w:tcPr>
          <w:p w:rsidR="00F23A7B" w:rsidRDefault="00F23A7B" w:rsidP="001C59B5">
            <w:pPr>
              <w:pStyle w:val="TableText"/>
              <w:spacing w:before="40" w:after="40"/>
            </w:pPr>
            <w:r>
              <w:t>291</w:t>
            </w:r>
          </w:p>
        </w:tc>
        <w:tc>
          <w:tcPr>
            <w:tcW w:w="1093" w:type="dxa"/>
          </w:tcPr>
          <w:p w:rsidR="00F23A7B" w:rsidRDefault="00F23A7B" w:rsidP="001C59B5">
            <w:pPr>
              <w:pStyle w:val="TableText"/>
              <w:spacing w:before="40" w:after="40"/>
            </w:pPr>
            <w:r>
              <w:t>291</w:t>
            </w:r>
          </w:p>
        </w:tc>
        <w:tc>
          <w:tcPr>
            <w:tcW w:w="5763" w:type="dxa"/>
          </w:tcPr>
          <w:p w:rsidR="00F23A7B" w:rsidRDefault="00F23A7B" w:rsidP="00A22DF3">
            <w:pPr>
              <w:pStyle w:val="TableText"/>
              <w:spacing w:before="40" w:after="40"/>
            </w:pPr>
            <w:r>
              <w:t>Approval of an attendant to accompany the patient</w:t>
            </w:r>
          </w:p>
        </w:tc>
      </w:tr>
      <w:tr w:rsidR="00F23A7B" w:rsidTr="000B3C1A">
        <w:trPr>
          <w:cantSplit/>
        </w:trPr>
        <w:tc>
          <w:tcPr>
            <w:tcW w:w="1092" w:type="dxa"/>
          </w:tcPr>
          <w:p w:rsidR="00F23A7B" w:rsidRDefault="00F23A7B" w:rsidP="001C59B5">
            <w:pPr>
              <w:pStyle w:val="TableText"/>
              <w:spacing w:before="40" w:after="40"/>
            </w:pPr>
            <w:r>
              <w:t>293</w:t>
            </w:r>
          </w:p>
        </w:tc>
        <w:tc>
          <w:tcPr>
            <w:tcW w:w="1093" w:type="dxa"/>
          </w:tcPr>
          <w:p w:rsidR="00F23A7B" w:rsidRDefault="00F23A7B" w:rsidP="001C59B5">
            <w:pPr>
              <w:pStyle w:val="TableText"/>
              <w:spacing w:before="40" w:after="40"/>
            </w:pPr>
            <w:r>
              <w:t>333</w:t>
            </w:r>
          </w:p>
        </w:tc>
        <w:tc>
          <w:tcPr>
            <w:tcW w:w="5763" w:type="dxa"/>
          </w:tcPr>
          <w:p w:rsidR="00F23A7B" w:rsidRDefault="00F23A7B" w:rsidP="00A22DF3">
            <w:pPr>
              <w:pStyle w:val="TableText"/>
              <w:spacing w:before="40" w:after="40"/>
            </w:pPr>
            <w:r>
              <w:t>Compensation for cost of journey relating to treatment</w:t>
            </w:r>
          </w:p>
        </w:tc>
      </w:tr>
      <w:tr w:rsidR="00F23A7B" w:rsidTr="000B3C1A">
        <w:trPr>
          <w:cantSplit/>
        </w:trPr>
        <w:tc>
          <w:tcPr>
            <w:tcW w:w="1092" w:type="dxa"/>
          </w:tcPr>
          <w:p w:rsidR="00F23A7B" w:rsidRDefault="00F23A7B" w:rsidP="001C59B5">
            <w:pPr>
              <w:pStyle w:val="TableText"/>
              <w:spacing w:before="40" w:after="40"/>
            </w:pPr>
            <w:r>
              <w:t>297</w:t>
            </w:r>
          </w:p>
        </w:tc>
        <w:tc>
          <w:tcPr>
            <w:tcW w:w="1093" w:type="dxa"/>
          </w:tcPr>
          <w:p w:rsidR="00F23A7B" w:rsidRDefault="00F23A7B" w:rsidP="001C59B5">
            <w:pPr>
              <w:pStyle w:val="TableText"/>
              <w:spacing w:before="40" w:after="40"/>
            </w:pPr>
            <w:r>
              <w:t>333</w:t>
            </w:r>
          </w:p>
        </w:tc>
        <w:tc>
          <w:tcPr>
            <w:tcW w:w="5763" w:type="dxa"/>
          </w:tcPr>
          <w:p w:rsidR="00F23A7B" w:rsidRDefault="00F23A7B" w:rsidP="00A22DF3">
            <w:pPr>
              <w:pStyle w:val="TableText"/>
              <w:spacing w:before="40" w:after="40"/>
            </w:pPr>
            <w:r>
              <w:t>Compensation for transportation of another person to hospital or mortuary</w:t>
            </w:r>
          </w:p>
        </w:tc>
      </w:tr>
      <w:tr w:rsidR="00F23A7B" w:rsidTr="000B3C1A">
        <w:trPr>
          <w:cantSplit/>
        </w:trPr>
        <w:tc>
          <w:tcPr>
            <w:tcW w:w="1092" w:type="dxa"/>
          </w:tcPr>
          <w:p w:rsidR="00F23A7B" w:rsidRDefault="00F23A7B" w:rsidP="001C59B5">
            <w:pPr>
              <w:pStyle w:val="TableText"/>
              <w:spacing w:before="40" w:after="40"/>
            </w:pPr>
            <w:r>
              <w:t>300</w:t>
            </w:r>
          </w:p>
        </w:tc>
        <w:tc>
          <w:tcPr>
            <w:tcW w:w="1093" w:type="dxa"/>
          </w:tcPr>
          <w:p w:rsidR="00F23A7B" w:rsidRDefault="00F23A7B" w:rsidP="001C59B5">
            <w:pPr>
              <w:pStyle w:val="TableText"/>
              <w:spacing w:before="40" w:after="40"/>
            </w:pPr>
            <w:r>
              <w:t>333</w:t>
            </w:r>
          </w:p>
        </w:tc>
        <w:tc>
          <w:tcPr>
            <w:tcW w:w="5763" w:type="dxa"/>
          </w:tcPr>
          <w:p w:rsidR="00F23A7B" w:rsidRDefault="00F23A7B" w:rsidP="00A22DF3">
            <w:pPr>
              <w:pStyle w:val="TableText"/>
              <w:spacing w:before="40" w:after="40"/>
            </w:pPr>
            <w:r>
              <w:t>Pharmaceutical allowance</w:t>
            </w:r>
          </w:p>
        </w:tc>
      </w:tr>
      <w:tr w:rsidR="00F23A7B" w:rsidTr="000B3C1A">
        <w:trPr>
          <w:cantSplit/>
        </w:trPr>
        <w:tc>
          <w:tcPr>
            <w:tcW w:w="1092" w:type="dxa"/>
          </w:tcPr>
          <w:p w:rsidR="00F23A7B" w:rsidRDefault="00F23A7B" w:rsidP="001C59B5">
            <w:pPr>
              <w:pStyle w:val="TableText"/>
              <w:spacing w:before="40" w:after="40"/>
            </w:pPr>
            <w:r>
              <w:t>315</w:t>
            </w:r>
          </w:p>
        </w:tc>
        <w:tc>
          <w:tcPr>
            <w:tcW w:w="1093" w:type="dxa"/>
          </w:tcPr>
          <w:p w:rsidR="00F23A7B" w:rsidRDefault="00F23A7B" w:rsidP="001C59B5">
            <w:pPr>
              <w:pStyle w:val="TableText"/>
              <w:spacing w:before="40" w:after="40"/>
            </w:pPr>
            <w:r>
              <w:t>315</w:t>
            </w:r>
          </w:p>
        </w:tc>
        <w:tc>
          <w:tcPr>
            <w:tcW w:w="5763" w:type="dxa"/>
          </w:tcPr>
          <w:p w:rsidR="00F23A7B" w:rsidRDefault="00F23A7B" w:rsidP="00A22DF3">
            <w:pPr>
              <w:pStyle w:val="TableText"/>
              <w:spacing w:before="40" w:after="40"/>
            </w:pPr>
            <w:r>
              <w:t>Amount of overpayment to be recovered</w:t>
            </w:r>
          </w:p>
        </w:tc>
      </w:tr>
      <w:tr w:rsidR="00F23A7B" w:rsidTr="000B3C1A">
        <w:trPr>
          <w:cantSplit/>
        </w:trPr>
        <w:tc>
          <w:tcPr>
            <w:tcW w:w="1092" w:type="dxa"/>
          </w:tcPr>
          <w:p w:rsidR="00F23A7B" w:rsidRDefault="00F23A7B" w:rsidP="001C59B5">
            <w:pPr>
              <w:pStyle w:val="TableText"/>
              <w:spacing w:before="40" w:after="40"/>
            </w:pPr>
            <w:r>
              <w:t>316</w:t>
            </w:r>
          </w:p>
        </w:tc>
        <w:tc>
          <w:tcPr>
            <w:tcW w:w="1093" w:type="dxa"/>
          </w:tcPr>
          <w:p w:rsidR="00F23A7B" w:rsidRDefault="00F23A7B" w:rsidP="001C59B5">
            <w:pPr>
              <w:pStyle w:val="TableText"/>
              <w:spacing w:before="40" w:after="40"/>
            </w:pPr>
            <w:r>
              <w:t>316</w:t>
            </w:r>
          </w:p>
        </w:tc>
        <w:tc>
          <w:tcPr>
            <w:tcW w:w="5763" w:type="dxa"/>
          </w:tcPr>
          <w:p w:rsidR="00F23A7B" w:rsidRDefault="00F23A7B" w:rsidP="00A22DF3">
            <w:pPr>
              <w:pStyle w:val="TableText"/>
              <w:spacing w:before="40" w:after="40"/>
            </w:pPr>
            <w:r>
              <w:t>Amount of interest to be recovered</w:t>
            </w:r>
          </w:p>
        </w:tc>
      </w:tr>
      <w:tr w:rsidR="00F23A7B" w:rsidTr="000B3C1A">
        <w:trPr>
          <w:cantSplit/>
        </w:trPr>
        <w:tc>
          <w:tcPr>
            <w:tcW w:w="1092" w:type="dxa"/>
          </w:tcPr>
          <w:p w:rsidR="00F23A7B" w:rsidRDefault="00F23A7B" w:rsidP="001C59B5">
            <w:pPr>
              <w:pStyle w:val="TableText"/>
              <w:spacing w:before="40" w:after="40"/>
            </w:pPr>
            <w:r>
              <w:t>317</w:t>
            </w:r>
          </w:p>
        </w:tc>
        <w:tc>
          <w:tcPr>
            <w:tcW w:w="1093" w:type="dxa"/>
          </w:tcPr>
          <w:p w:rsidR="00F23A7B" w:rsidRDefault="00F23A7B" w:rsidP="001C59B5">
            <w:pPr>
              <w:pStyle w:val="TableText"/>
              <w:spacing w:before="40" w:after="40"/>
            </w:pPr>
            <w:r>
              <w:t>317</w:t>
            </w:r>
          </w:p>
        </w:tc>
        <w:tc>
          <w:tcPr>
            <w:tcW w:w="5763" w:type="dxa"/>
          </w:tcPr>
          <w:p w:rsidR="00F23A7B" w:rsidRDefault="00F23A7B" w:rsidP="00A22DF3">
            <w:pPr>
              <w:pStyle w:val="TableText"/>
              <w:spacing w:before="40" w:after="40"/>
            </w:pPr>
            <w:r>
              <w:t>Reduction of payment because of previous overpayment</w:t>
            </w:r>
          </w:p>
        </w:tc>
      </w:tr>
      <w:tr w:rsidR="00F23A7B" w:rsidTr="000B3C1A">
        <w:trPr>
          <w:cantSplit/>
        </w:trPr>
        <w:tc>
          <w:tcPr>
            <w:tcW w:w="1092" w:type="dxa"/>
          </w:tcPr>
          <w:p w:rsidR="00F23A7B" w:rsidRPr="00F23A7B" w:rsidRDefault="00F23A7B" w:rsidP="001C59B5">
            <w:pPr>
              <w:pStyle w:val="TableText"/>
              <w:spacing w:before="40" w:after="40"/>
              <w:rPr>
                <w:b/>
              </w:rPr>
            </w:pPr>
            <w:r w:rsidRPr="00F23A7B">
              <w:rPr>
                <w:b/>
              </w:rPr>
              <w:t>Chapter 7</w:t>
            </w:r>
          </w:p>
        </w:tc>
        <w:tc>
          <w:tcPr>
            <w:tcW w:w="1093" w:type="dxa"/>
          </w:tcPr>
          <w:p w:rsidR="00F23A7B" w:rsidRPr="00F23A7B" w:rsidRDefault="00F23A7B" w:rsidP="001C59B5">
            <w:pPr>
              <w:pStyle w:val="TableText"/>
              <w:spacing w:before="40" w:after="40"/>
              <w:rPr>
                <w:b/>
              </w:rPr>
            </w:pPr>
          </w:p>
        </w:tc>
        <w:tc>
          <w:tcPr>
            <w:tcW w:w="5763" w:type="dxa"/>
          </w:tcPr>
          <w:p w:rsidR="00F23A7B" w:rsidRPr="00F23A7B" w:rsidRDefault="00F23A7B" w:rsidP="00A22DF3">
            <w:pPr>
              <w:pStyle w:val="TableText"/>
              <w:spacing w:before="40" w:after="40"/>
              <w:rPr>
                <w:b/>
              </w:rPr>
            </w:pPr>
            <w:r w:rsidRPr="00F23A7B">
              <w:rPr>
                <w:b/>
              </w:rPr>
              <w:t>Claims</w:t>
            </w:r>
          </w:p>
        </w:tc>
      </w:tr>
      <w:tr w:rsidR="00F23A7B" w:rsidTr="000B3C1A">
        <w:trPr>
          <w:cantSplit/>
        </w:trPr>
        <w:tc>
          <w:tcPr>
            <w:tcW w:w="1092" w:type="dxa"/>
          </w:tcPr>
          <w:p w:rsidR="00F23A7B" w:rsidRDefault="00F23A7B" w:rsidP="001C59B5">
            <w:pPr>
              <w:pStyle w:val="TableText"/>
              <w:spacing w:before="40" w:after="40"/>
            </w:pPr>
            <w:r>
              <w:t>320</w:t>
            </w:r>
          </w:p>
        </w:tc>
        <w:tc>
          <w:tcPr>
            <w:tcW w:w="1093" w:type="dxa"/>
          </w:tcPr>
          <w:p w:rsidR="00F23A7B" w:rsidRDefault="00F23A7B" w:rsidP="001C59B5">
            <w:pPr>
              <w:pStyle w:val="TableText"/>
              <w:spacing w:before="40" w:after="40"/>
            </w:pPr>
            <w:r>
              <w:t>320</w:t>
            </w:r>
          </w:p>
        </w:tc>
        <w:tc>
          <w:tcPr>
            <w:tcW w:w="5763" w:type="dxa"/>
          </w:tcPr>
          <w:p w:rsidR="00F23A7B" w:rsidRDefault="00F23A7B" w:rsidP="00A22DF3">
            <w:pPr>
              <w:pStyle w:val="TableText"/>
              <w:spacing w:before="40" w:after="40"/>
            </w:pPr>
            <w:r>
              <w:t>Approval of person to make claim on behalf of a person</w:t>
            </w:r>
          </w:p>
        </w:tc>
      </w:tr>
      <w:tr w:rsidR="00F23A7B" w:rsidTr="000B3C1A">
        <w:trPr>
          <w:cantSplit/>
        </w:trPr>
        <w:tc>
          <w:tcPr>
            <w:tcW w:w="1092" w:type="dxa"/>
          </w:tcPr>
          <w:p w:rsidR="00F23A7B" w:rsidRDefault="00F23A7B" w:rsidP="001C59B5">
            <w:pPr>
              <w:pStyle w:val="TableText"/>
              <w:spacing w:before="40" w:after="40"/>
            </w:pPr>
            <w:r>
              <w:t>325</w:t>
            </w:r>
          </w:p>
        </w:tc>
        <w:tc>
          <w:tcPr>
            <w:tcW w:w="1093" w:type="dxa"/>
          </w:tcPr>
          <w:p w:rsidR="00F23A7B" w:rsidRDefault="00F23A7B" w:rsidP="001C59B5">
            <w:pPr>
              <w:pStyle w:val="TableText"/>
              <w:spacing w:before="40" w:after="40"/>
            </w:pPr>
            <w:r>
              <w:t>325</w:t>
            </w:r>
          </w:p>
        </w:tc>
        <w:tc>
          <w:tcPr>
            <w:tcW w:w="5763" w:type="dxa"/>
          </w:tcPr>
          <w:p w:rsidR="00F23A7B" w:rsidRDefault="00F23A7B" w:rsidP="00A22DF3">
            <w:pPr>
              <w:pStyle w:val="TableText"/>
              <w:spacing w:before="40" w:after="40"/>
            </w:pPr>
            <w:r>
              <w:t>Needs assessment</w:t>
            </w:r>
          </w:p>
        </w:tc>
      </w:tr>
      <w:tr w:rsidR="00F23A7B" w:rsidTr="000B3C1A">
        <w:trPr>
          <w:cantSplit/>
        </w:trPr>
        <w:tc>
          <w:tcPr>
            <w:tcW w:w="1092" w:type="dxa"/>
          </w:tcPr>
          <w:p w:rsidR="00F23A7B" w:rsidRDefault="00F23A7B" w:rsidP="001C59B5">
            <w:pPr>
              <w:pStyle w:val="TableText"/>
              <w:spacing w:before="40" w:after="40"/>
            </w:pPr>
            <w:r>
              <w:t>328</w:t>
            </w:r>
          </w:p>
        </w:tc>
        <w:tc>
          <w:tcPr>
            <w:tcW w:w="1093" w:type="dxa"/>
          </w:tcPr>
          <w:p w:rsidR="00F23A7B" w:rsidRDefault="00F23A7B" w:rsidP="001C59B5">
            <w:pPr>
              <w:pStyle w:val="TableText"/>
              <w:spacing w:before="40" w:after="40"/>
            </w:pPr>
            <w:r>
              <w:t>328</w:t>
            </w:r>
          </w:p>
        </w:tc>
        <w:tc>
          <w:tcPr>
            <w:tcW w:w="5763" w:type="dxa"/>
          </w:tcPr>
          <w:p w:rsidR="00F23A7B" w:rsidRDefault="00F23A7B" w:rsidP="00A22DF3">
            <w:pPr>
              <w:pStyle w:val="TableText"/>
              <w:spacing w:before="40" w:after="40"/>
            </w:pPr>
            <w:r>
              <w:t>Requiring a medical examination</w:t>
            </w:r>
          </w:p>
        </w:tc>
      </w:tr>
      <w:tr w:rsidR="00F23A7B" w:rsidTr="000B3C1A">
        <w:trPr>
          <w:cantSplit/>
        </w:trPr>
        <w:tc>
          <w:tcPr>
            <w:tcW w:w="1092" w:type="dxa"/>
          </w:tcPr>
          <w:p w:rsidR="00F23A7B" w:rsidRDefault="00F23A7B" w:rsidP="001C59B5">
            <w:pPr>
              <w:pStyle w:val="TableText"/>
              <w:spacing w:before="40" w:after="40"/>
            </w:pPr>
            <w:r>
              <w:t>330</w:t>
            </w:r>
          </w:p>
        </w:tc>
        <w:tc>
          <w:tcPr>
            <w:tcW w:w="1093" w:type="dxa"/>
          </w:tcPr>
          <w:p w:rsidR="00F23A7B" w:rsidRDefault="00F23A7B" w:rsidP="001C59B5">
            <w:pPr>
              <w:pStyle w:val="TableText"/>
              <w:spacing w:before="40" w:after="40"/>
            </w:pPr>
            <w:r>
              <w:t>330</w:t>
            </w:r>
          </w:p>
        </w:tc>
        <w:tc>
          <w:tcPr>
            <w:tcW w:w="5763" w:type="dxa"/>
          </w:tcPr>
          <w:p w:rsidR="00F23A7B" w:rsidRDefault="00F23A7B" w:rsidP="00A22DF3">
            <w:pPr>
              <w:pStyle w:val="TableText"/>
              <w:spacing w:before="40" w:after="40"/>
            </w:pPr>
            <w:r>
              <w:t>Refusal to deal with a claim for failure to comply with obligation notice</w:t>
            </w:r>
          </w:p>
        </w:tc>
      </w:tr>
      <w:tr w:rsidR="00F23A7B" w:rsidTr="000B3C1A">
        <w:trPr>
          <w:cantSplit/>
        </w:trPr>
        <w:tc>
          <w:tcPr>
            <w:tcW w:w="1092" w:type="dxa"/>
          </w:tcPr>
          <w:p w:rsidR="00F23A7B" w:rsidRDefault="00F23A7B" w:rsidP="001C59B5">
            <w:pPr>
              <w:pStyle w:val="TableText"/>
              <w:spacing w:before="40" w:after="40"/>
            </w:pPr>
            <w:r>
              <w:t>333</w:t>
            </w:r>
          </w:p>
        </w:tc>
        <w:tc>
          <w:tcPr>
            <w:tcW w:w="1093" w:type="dxa"/>
          </w:tcPr>
          <w:p w:rsidR="00F23A7B" w:rsidRDefault="00F23A7B" w:rsidP="001C59B5">
            <w:pPr>
              <w:pStyle w:val="TableText"/>
              <w:spacing w:before="40" w:after="40"/>
            </w:pPr>
            <w:r>
              <w:t>333</w:t>
            </w:r>
          </w:p>
        </w:tc>
        <w:tc>
          <w:tcPr>
            <w:tcW w:w="5763" w:type="dxa"/>
          </w:tcPr>
          <w:p w:rsidR="00F23A7B" w:rsidRDefault="00F23A7B" w:rsidP="00A22DF3">
            <w:pPr>
              <w:pStyle w:val="TableText"/>
              <w:spacing w:before="40" w:after="40"/>
            </w:pPr>
            <w:r>
              <w:t>Determination of claim for compensation</w:t>
            </w:r>
          </w:p>
        </w:tc>
      </w:tr>
      <w:tr w:rsidR="00F23A7B" w:rsidTr="000B3C1A">
        <w:trPr>
          <w:cantSplit/>
        </w:trPr>
        <w:tc>
          <w:tcPr>
            <w:tcW w:w="1092" w:type="dxa"/>
          </w:tcPr>
          <w:p w:rsidR="00F23A7B" w:rsidRDefault="00F23A7B" w:rsidP="001C59B5">
            <w:pPr>
              <w:pStyle w:val="TableText"/>
              <w:spacing w:before="40" w:after="40"/>
            </w:pPr>
            <w:r>
              <w:t>340</w:t>
            </w:r>
          </w:p>
        </w:tc>
        <w:tc>
          <w:tcPr>
            <w:tcW w:w="1093" w:type="dxa"/>
          </w:tcPr>
          <w:p w:rsidR="00F23A7B" w:rsidRDefault="00F23A7B" w:rsidP="001C59B5">
            <w:pPr>
              <w:pStyle w:val="TableText"/>
              <w:spacing w:before="40" w:after="40"/>
            </w:pPr>
            <w:r>
              <w:t>340</w:t>
            </w:r>
          </w:p>
        </w:tc>
        <w:tc>
          <w:tcPr>
            <w:tcW w:w="5763" w:type="dxa"/>
          </w:tcPr>
          <w:p w:rsidR="00F23A7B" w:rsidRDefault="00F23A7B" w:rsidP="00A22DF3">
            <w:pPr>
              <w:pStyle w:val="TableText"/>
              <w:spacing w:before="40" w:after="40"/>
            </w:pPr>
            <w:r>
              <w:t>Determination overriding RMA decision concerning a SoP</w:t>
            </w:r>
          </w:p>
        </w:tc>
      </w:tr>
      <w:tr w:rsidR="00F23A7B" w:rsidTr="000B3C1A">
        <w:trPr>
          <w:cantSplit/>
        </w:trPr>
        <w:tc>
          <w:tcPr>
            <w:tcW w:w="1092" w:type="dxa"/>
          </w:tcPr>
          <w:p w:rsidR="00F23A7B" w:rsidRDefault="00F23A7B" w:rsidP="001C59B5">
            <w:pPr>
              <w:pStyle w:val="TableText"/>
              <w:spacing w:before="40" w:after="40"/>
            </w:pPr>
            <w:r>
              <w:t>342</w:t>
            </w:r>
          </w:p>
        </w:tc>
        <w:tc>
          <w:tcPr>
            <w:tcW w:w="1093" w:type="dxa"/>
          </w:tcPr>
          <w:p w:rsidR="00F23A7B" w:rsidRDefault="00F23A7B" w:rsidP="001C59B5">
            <w:pPr>
              <w:pStyle w:val="TableText"/>
              <w:spacing w:before="40" w:after="40"/>
            </w:pPr>
            <w:r>
              <w:t>342</w:t>
            </w:r>
          </w:p>
        </w:tc>
        <w:tc>
          <w:tcPr>
            <w:tcW w:w="5763" w:type="dxa"/>
          </w:tcPr>
          <w:p w:rsidR="00F23A7B" w:rsidRDefault="00F23A7B" w:rsidP="00A22DF3">
            <w:pPr>
              <w:pStyle w:val="TableText"/>
              <w:spacing w:before="40" w:after="40"/>
            </w:pPr>
            <w:r>
              <w:t>Onset date of incapacity for service or work</w:t>
            </w:r>
          </w:p>
        </w:tc>
      </w:tr>
      <w:tr w:rsidR="00F23A7B" w:rsidTr="000B3C1A">
        <w:trPr>
          <w:cantSplit/>
        </w:trPr>
        <w:tc>
          <w:tcPr>
            <w:tcW w:w="1092" w:type="dxa"/>
          </w:tcPr>
          <w:p w:rsidR="00F23A7B" w:rsidRDefault="00F23A7B" w:rsidP="001C59B5">
            <w:pPr>
              <w:pStyle w:val="TableText"/>
              <w:spacing w:before="40" w:after="40"/>
            </w:pPr>
            <w:r>
              <w:t>343</w:t>
            </w:r>
          </w:p>
        </w:tc>
        <w:tc>
          <w:tcPr>
            <w:tcW w:w="1093" w:type="dxa"/>
          </w:tcPr>
          <w:p w:rsidR="00F23A7B" w:rsidRDefault="00F23A7B" w:rsidP="001C59B5">
            <w:pPr>
              <w:pStyle w:val="TableText"/>
              <w:spacing w:before="40" w:after="40"/>
            </w:pPr>
            <w:r>
              <w:t>343</w:t>
            </w:r>
          </w:p>
        </w:tc>
        <w:tc>
          <w:tcPr>
            <w:tcW w:w="5763" w:type="dxa"/>
          </w:tcPr>
          <w:p w:rsidR="00F23A7B" w:rsidRDefault="00F23A7B" w:rsidP="00A22DF3">
            <w:pPr>
              <w:pStyle w:val="TableText"/>
              <w:spacing w:before="40" w:after="40"/>
            </w:pPr>
            <w:r>
              <w:t>Date of death</w:t>
            </w:r>
          </w:p>
        </w:tc>
      </w:tr>
      <w:tr w:rsidR="00F23A7B" w:rsidTr="000B3C1A">
        <w:trPr>
          <w:cantSplit/>
        </w:trPr>
        <w:tc>
          <w:tcPr>
            <w:tcW w:w="1092" w:type="dxa"/>
          </w:tcPr>
          <w:p w:rsidR="00F23A7B" w:rsidRPr="00F23A7B" w:rsidRDefault="00F23A7B" w:rsidP="001C59B5">
            <w:pPr>
              <w:pStyle w:val="TableText"/>
              <w:spacing w:before="40" w:after="40"/>
              <w:rPr>
                <w:b/>
              </w:rPr>
            </w:pPr>
            <w:r w:rsidRPr="00F23A7B">
              <w:rPr>
                <w:b/>
              </w:rPr>
              <w:t>Chapter 10</w:t>
            </w:r>
          </w:p>
        </w:tc>
        <w:tc>
          <w:tcPr>
            <w:tcW w:w="1093" w:type="dxa"/>
          </w:tcPr>
          <w:p w:rsidR="00F23A7B" w:rsidRPr="00F23A7B" w:rsidRDefault="00F23A7B" w:rsidP="001C59B5">
            <w:pPr>
              <w:pStyle w:val="TableText"/>
              <w:spacing w:before="40" w:after="40"/>
              <w:rPr>
                <w:b/>
              </w:rPr>
            </w:pPr>
          </w:p>
        </w:tc>
        <w:tc>
          <w:tcPr>
            <w:tcW w:w="5763" w:type="dxa"/>
          </w:tcPr>
          <w:p w:rsidR="00F23A7B" w:rsidRPr="00F23A7B" w:rsidRDefault="00F23A7B" w:rsidP="00A22DF3">
            <w:pPr>
              <w:pStyle w:val="TableText"/>
              <w:spacing w:before="40" w:after="40"/>
              <w:rPr>
                <w:b/>
              </w:rPr>
            </w:pPr>
            <w:r w:rsidRPr="00F23A7B">
              <w:rPr>
                <w:b/>
              </w:rPr>
              <w:t>Liabilities apart from the Act</w:t>
            </w:r>
          </w:p>
        </w:tc>
      </w:tr>
      <w:tr w:rsidR="00F23A7B" w:rsidTr="000B3C1A">
        <w:trPr>
          <w:cantSplit/>
        </w:trPr>
        <w:tc>
          <w:tcPr>
            <w:tcW w:w="1092" w:type="dxa"/>
          </w:tcPr>
          <w:p w:rsidR="00F23A7B" w:rsidRDefault="00F23A7B" w:rsidP="001C59B5">
            <w:pPr>
              <w:pStyle w:val="TableText"/>
              <w:spacing w:before="40" w:after="40"/>
            </w:pPr>
            <w:r>
              <w:t>398</w:t>
            </w:r>
          </w:p>
        </w:tc>
        <w:tc>
          <w:tcPr>
            <w:tcW w:w="1093" w:type="dxa"/>
          </w:tcPr>
          <w:p w:rsidR="00F23A7B" w:rsidRDefault="00F23A7B" w:rsidP="001C59B5">
            <w:pPr>
              <w:pStyle w:val="TableText"/>
              <w:spacing w:before="40" w:after="40"/>
            </w:pPr>
            <w:r>
              <w:t>398</w:t>
            </w:r>
          </w:p>
        </w:tc>
        <w:tc>
          <w:tcPr>
            <w:tcW w:w="5763" w:type="dxa"/>
          </w:tcPr>
          <w:p w:rsidR="00F23A7B" w:rsidRDefault="00F23A7B" w:rsidP="00A22DF3">
            <w:pPr>
              <w:pStyle w:val="TableText"/>
              <w:spacing w:before="40" w:after="40"/>
            </w:pPr>
            <w:r>
              <w:t>Deductions from an award of damages for compensation paid and costs incidental to claim</w:t>
            </w:r>
          </w:p>
        </w:tc>
      </w:tr>
      <w:tr w:rsidR="00F23A7B" w:rsidTr="000B3C1A">
        <w:trPr>
          <w:cantSplit/>
        </w:trPr>
        <w:tc>
          <w:tcPr>
            <w:tcW w:w="1092" w:type="dxa"/>
          </w:tcPr>
          <w:p w:rsidR="00F23A7B" w:rsidRPr="00F23A7B" w:rsidRDefault="00F23A7B" w:rsidP="001C59B5">
            <w:pPr>
              <w:pStyle w:val="TableText"/>
              <w:spacing w:before="40" w:after="40"/>
              <w:rPr>
                <w:b/>
              </w:rPr>
            </w:pPr>
            <w:r w:rsidRPr="00F23A7B">
              <w:rPr>
                <w:b/>
              </w:rPr>
              <w:t>Chapter 11</w:t>
            </w:r>
          </w:p>
        </w:tc>
        <w:tc>
          <w:tcPr>
            <w:tcW w:w="1093" w:type="dxa"/>
          </w:tcPr>
          <w:p w:rsidR="00F23A7B" w:rsidRPr="00F23A7B" w:rsidRDefault="00F23A7B" w:rsidP="001C59B5">
            <w:pPr>
              <w:pStyle w:val="TableText"/>
              <w:spacing w:before="40" w:after="40"/>
              <w:rPr>
                <w:b/>
              </w:rPr>
            </w:pPr>
          </w:p>
        </w:tc>
        <w:tc>
          <w:tcPr>
            <w:tcW w:w="5763" w:type="dxa"/>
          </w:tcPr>
          <w:p w:rsidR="00F23A7B" w:rsidRPr="00F23A7B" w:rsidRDefault="00F23A7B" w:rsidP="00A22DF3">
            <w:pPr>
              <w:pStyle w:val="TableText"/>
              <w:spacing w:before="40" w:after="40"/>
              <w:rPr>
                <w:b/>
              </w:rPr>
            </w:pPr>
            <w:r w:rsidRPr="00F23A7B">
              <w:rPr>
                <w:b/>
              </w:rPr>
              <w:t>Miscellaneous</w:t>
            </w:r>
          </w:p>
        </w:tc>
      </w:tr>
      <w:tr w:rsidR="00F23A7B" w:rsidTr="000B3C1A">
        <w:trPr>
          <w:cantSplit/>
        </w:trPr>
        <w:tc>
          <w:tcPr>
            <w:tcW w:w="1092" w:type="dxa"/>
          </w:tcPr>
          <w:p w:rsidR="00F23A7B" w:rsidRDefault="00F23A7B" w:rsidP="001C59B5">
            <w:pPr>
              <w:pStyle w:val="TableText"/>
              <w:spacing w:before="40" w:after="40"/>
            </w:pPr>
            <w:r>
              <w:t>424</w:t>
            </w:r>
          </w:p>
        </w:tc>
        <w:tc>
          <w:tcPr>
            <w:tcW w:w="1093" w:type="dxa"/>
          </w:tcPr>
          <w:p w:rsidR="00F23A7B" w:rsidRDefault="00F23A7B" w:rsidP="001C59B5">
            <w:pPr>
              <w:pStyle w:val="TableText"/>
              <w:spacing w:before="40" w:after="40"/>
            </w:pPr>
            <w:r>
              <w:t>333</w:t>
            </w:r>
          </w:p>
        </w:tc>
        <w:tc>
          <w:tcPr>
            <w:tcW w:w="5763" w:type="dxa"/>
          </w:tcPr>
          <w:p w:rsidR="00F23A7B" w:rsidRDefault="00F23A7B" w:rsidP="00A22DF3">
            <w:pPr>
              <w:pStyle w:val="TableText"/>
              <w:spacing w:before="40" w:after="40"/>
            </w:pPr>
            <w:r>
              <w:t>Special assistance</w:t>
            </w:r>
          </w:p>
        </w:tc>
      </w:tr>
      <w:tr w:rsidR="00F23A7B" w:rsidTr="000B3C1A">
        <w:trPr>
          <w:cantSplit/>
        </w:trPr>
        <w:tc>
          <w:tcPr>
            <w:tcW w:w="1092" w:type="dxa"/>
          </w:tcPr>
          <w:p w:rsidR="00F23A7B" w:rsidRDefault="00F23A7B" w:rsidP="001C59B5">
            <w:pPr>
              <w:pStyle w:val="TableText"/>
              <w:spacing w:before="40" w:after="40"/>
            </w:pPr>
            <w:r>
              <w:t>428</w:t>
            </w:r>
          </w:p>
        </w:tc>
        <w:tc>
          <w:tcPr>
            <w:tcW w:w="1093" w:type="dxa"/>
          </w:tcPr>
          <w:p w:rsidR="00F23A7B" w:rsidRDefault="00F23A7B" w:rsidP="001C59B5">
            <w:pPr>
              <w:pStyle w:val="TableText"/>
              <w:spacing w:before="40" w:after="40"/>
            </w:pPr>
            <w:r>
              <w:t>428</w:t>
            </w:r>
          </w:p>
        </w:tc>
        <w:tc>
          <w:tcPr>
            <w:tcW w:w="5763" w:type="dxa"/>
          </w:tcPr>
          <w:p w:rsidR="00F23A7B" w:rsidRDefault="00F23A7B" w:rsidP="00A22DF3">
            <w:pPr>
              <w:pStyle w:val="TableText"/>
              <w:spacing w:before="40" w:after="40"/>
            </w:pPr>
            <w:r>
              <w:t>Amount of debt that should be written off</w:t>
            </w:r>
          </w:p>
        </w:tc>
      </w:tr>
      <w:tr w:rsidR="00F23A7B" w:rsidTr="000B3C1A">
        <w:trPr>
          <w:cantSplit/>
        </w:trPr>
        <w:tc>
          <w:tcPr>
            <w:tcW w:w="1092" w:type="dxa"/>
          </w:tcPr>
          <w:p w:rsidR="00F23A7B" w:rsidRDefault="00F23A7B" w:rsidP="000B3C1A">
            <w:pPr>
              <w:pStyle w:val="TableText"/>
              <w:keepNext w:val="0"/>
              <w:spacing w:before="40" w:after="40"/>
            </w:pPr>
            <w:r>
              <w:t>429</w:t>
            </w:r>
          </w:p>
        </w:tc>
        <w:tc>
          <w:tcPr>
            <w:tcW w:w="1093" w:type="dxa"/>
          </w:tcPr>
          <w:p w:rsidR="00F23A7B" w:rsidRDefault="00F23A7B" w:rsidP="000B3C1A">
            <w:pPr>
              <w:pStyle w:val="TableText"/>
              <w:keepNext w:val="0"/>
              <w:spacing w:before="40" w:after="40"/>
            </w:pPr>
            <w:r>
              <w:t>429</w:t>
            </w:r>
          </w:p>
        </w:tc>
        <w:tc>
          <w:tcPr>
            <w:tcW w:w="5763" w:type="dxa"/>
          </w:tcPr>
          <w:p w:rsidR="00F23A7B" w:rsidRDefault="00F23A7B" w:rsidP="000B3C1A">
            <w:pPr>
              <w:pStyle w:val="TableText"/>
              <w:keepNext w:val="0"/>
              <w:spacing w:before="40" w:after="40"/>
            </w:pPr>
            <w:r>
              <w:t>Amount of debt that should be waived</w:t>
            </w:r>
          </w:p>
        </w:tc>
      </w:tr>
    </w:tbl>
    <w:bookmarkEnd w:id="6"/>
    <w:bookmarkEnd w:id="7"/>
    <w:bookmarkEnd w:id="8"/>
    <w:bookmarkEnd w:id="9"/>
    <w:bookmarkEnd w:id="10"/>
    <w:p w:rsidR="008A5EC2" w:rsidRDefault="008A5EC2" w:rsidP="008A5EC2">
      <w:pPr>
        <w:pStyle w:val="Heading3"/>
      </w:pPr>
      <w:r>
        <w:t>APPLYING FOR REVIEW</w:t>
      </w:r>
    </w:p>
    <w:p w:rsidR="000D0478" w:rsidRDefault="008A5EC2" w:rsidP="008A5EC2">
      <w:pPr>
        <w:keepLines/>
      </w:pPr>
      <w:r>
        <w:t>An application to the VRB has to be in writing and lodged at an office of the Department. An application under the MRCA or an application concerning an entitlement matter under the VEA must be received by the Department within 12 months of notice to the applicant of advice of the decision he or she wishes to challenge (for a VEA entitlement matter, an appeal should be made within 3 months for maximum benefits). An application under the VEA concerning an assessment matter or an Attendant Allowance</w:t>
      </w:r>
      <w:r w:rsidR="00EC32B8">
        <w:fldChar w:fldCharType="begin"/>
      </w:r>
      <w:r w:rsidR="00EC32B8">
        <w:instrText xml:space="preserve"> XE "</w:instrText>
      </w:r>
      <w:r w:rsidR="00EC32B8" w:rsidRPr="003924C2">
        <w:instrText>attendant allowance</w:instrText>
      </w:r>
      <w:r w:rsidR="00EC32B8">
        <w:instrText xml:space="preserve">" </w:instrText>
      </w:r>
      <w:r w:rsidR="00EC32B8">
        <w:fldChar w:fldCharType="end"/>
      </w:r>
      <w:r>
        <w:t xml:space="preserve"> must be lodged within three months of notice of the decision.</w:t>
      </w:r>
    </w:p>
    <w:p w:rsidR="000B3C1A" w:rsidRDefault="000B3C1A" w:rsidP="000B3C1A">
      <w:pPr>
        <w:pStyle w:val="Heading3"/>
      </w:pPr>
      <w:r>
        <w:lastRenderedPageBreak/>
        <w:t>THE CONDUCT OF REVIEWS</w:t>
      </w:r>
    </w:p>
    <w:p w:rsidR="000B3C1A" w:rsidRDefault="000B3C1A" w:rsidP="000B3C1A">
      <w:r>
        <w:t>The parties to a review by the VRB are the applicant and the relevant Commission. If the matter concerns rehabilitation</w:t>
      </w:r>
      <w:r w:rsidR="0005789C">
        <w:fldChar w:fldCharType="begin"/>
      </w:r>
      <w:r w:rsidR="0005789C">
        <w:instrText xml:space="preserve"> XE "</w:instrText>
      </w:r>
      <w:r w:rsidR="0005789C" w:rsidRPr="002D7689">
        <w:instrText>rehabilitation</w:instrText>
      </w:r>
      <w:r w:rsidR="0005789C">
        <w:instrText xml:space="preserve">" </w:instrText>
      </w:r>
      <w:r w:rsidR="0005789C">
        <w:fldChar w:fldCharType="end"/>
      </w:r>
      <w:r>
        <w:t xml:space="preserve"> of a serving member of the ADF under the MRCA, the relevant service chief may choose to be a party.</w:t>
      </w:r>
    </w:p>
    <w:p w:rsidR="000B3C1A" w:rsidRDefault="000B3C1A" w:rsidP="000B3C1A">
      <w:r>
        <w:t>An applicant may appoint a representative to assist with his or her case. However, lawyers cannot present a case at hearing (s147(2) of the VEA). Applicants are of course permitted to consult lawyers prior to their hearing. Written legal submissions will be accepted by the VRB for consideration as evidence. Additionally, lawyers are welcome to attend and participate in ADR events before the VRB.</w:t>
      </w:r>
    </w:p>
    <w:p w:rsidR="000B3C1A" w:rsidRDefault="000B3C1A" w:rsidP="000B3C1A">
      <w:r>
        <w:t>Within six weeks of receiving an application, the relevant Commission must provide the applicant with a report prepared in accordance with s137 of the VEA. That report contains a copy of those documents from the Department’s files that Departmental staff</w:t>
      </w:r>
      <w:r w:rsidR="0005789C">
        <w:fldChar w:fldCharType="begin"/>
      </w:r>
      <w:r w:rsidR="0005789C">
        <w:instrText xml:space="preserve"> XE "</w:instrText>
      </w:r>
      <w:r w:rsidR="0005789C" w:rsidRPr="002D7689">
        <w:instrText>staff</w:instrText>
      </w:r>
      <w:r w:rsidR="0005789C">
        <w:instrText xml:space="preserve">" </w:instrText>
      </w:r>
      <w:r w:rsidR="0005789C">
        <w:fldChar w:fldCharType="end"/>
      </w:r>
      <w:r>
        <w:t xml:space="preserve"> have identified as relevant to the decision or determination under review.</w:t>
      </w:r>
    </w:p>
    <w:p w:rsidR="000B3C1A" w:rsidRDefault="000B3C1A" w:rsidP="000B3C1A">
      <w:r>
        <w:t>On receiving these documents from the relevant respondent, the VRB writes to the parties seeking written advice about whether they intend to be represented at any ADR event or hearing and whether or not they also wish to attend any ADR event or hearing.</w:t>
      </w:r>
    </w:p>
    <w:p w:rsidR="000B3C1A" w:rsidRDefault="000B3C1A" w:rsidP="000B3C1A">
      <w:r>
        <w:t xml:space="preserve">Following the passage of </w:t>
      </w:r>
      <w:r w:rsidRPr="000B3C1A">
        <w:rPr>
          <w:i/>
        </w:rPr>
        <w:t>The Veterans’ Affairs Legislation Amendment (Mental Health and other Measures) Act 2014</w:t>
      </w:r>
      <w:r w:rsidRPr="000B3C1A">
        <w:t xml:space="preserve"> </w:t>
      </w:r>
      <w:r>
        <w:t>the VRB introduced a trial of the full suite of ADR processes in NSW and the ACT from 1 January 2015, applying to all new applications for review that were lodged from this date. Following on from this successful trial the complete ADR program has been introduced for NSW, ACT, VIC, TAS, SA and WA. The ADR program is now fully operational in all locations except QLD. Applicants in QLD can request the ADR processes of case appraisal</w:t>
      </w:r>
      <w:r w:rsidR="008D2F5D">
        <w:fldChar w:fldCharType="begin"/>
      </w:r>
      <w:r w:rsidR="008D2F5D">
        <w:instrText xml:space="preserve"> XE "</w:instrText>
      </w:r>
      <w:r w:rsidR="008D2F5D" w:rsidRPr="003924C2">
        <w:instrText>case appraisal</w:instrText>
      </w:r>
      <w:r w:rsidR="008D2F5D">
        <w:instrText xml:space="preserve">" </w:instrText>
      </w:r>
      <w:r w:rsidR="008D2F5D">
        <w:fldChar w:fldCharType="end"/>
      </w:r>
      <w:r>
        <w:t xml:space="preserve"> or neutral evaluation pending the implementation of the complete program in their state.</w:t>
      </w:r>
    </w:p>
    <w:p w:rsidR="000B3C1A" w:rsidRDefault="000B3C1A" w:rsidP="000B3C1A">
      <w:r>
        <w:t>The ADR model used at the VRB is facilitative. The first mandatory event for all applications in the ADR program is an outreach. An outreach is a conversation that takes place between a Board Conference Registrar and the applicant (and their representative). If an application cannot be resolved at the first outreach, the ADR program has a number of flexible options that can be used to assist in resolving the application quickly and without the need for a full hearing. These include: seeking further information or evidence from the parties (including a s148(6A) request to the respondent), a case appraisal, neutral evaluation or two party conferencing. If a matter has not settled during the ADR program, the parties have the right to proceed to a full hearing.</w:t>
      </w:r>
    </w:p>
    <w:p w:rsidR="000B3C1A" w:rsidRPr="000B3C1A" w:rsidRDefault="000B3C1A" w:rsidP="000B3C1A">
      <w:r>
        <w:t xml:space="preserve">The VRB is not bound by technicalities or the rules of evidence. Hearings are informal and normally conducted in private. The presiding member determines who may be present and, if requested by the applicant, may permit a hearing to take place in public. Although not usual, witnesses may be summoned and evidence may be taken on oath or affirmation. All hearings are recorded to provide an accurate record of what is said. Copies of the recordings are made available free of charge to the parties on request, or the original recording may be listened to at the VRB’s premises. The recording is retained for two years and then destroyed in accordance with the </w:t>
      </w:r>
      <w:r w:rsidRPr="000B3C1A">
        <w:rPr>
          <w:i/>
        </w:rPr>
        <w:t>Archives Act 1983</w:t>
      </w:r>
      <w:r w:rsidRPr="000B3C1A">
        <w:t>.</w:t>
      </w:r>
    </w:p>
    <w:p w:rsidR="000B3C1A" w:rsidRDefault="000B3C1A" w:rsidP="000B3C1A">
      <w:r>
        <w:t>Issues are decided according to the opinion of the majority of members constituting the VRB panel. A copy of the decision and reasons</w:t>
      </w:r>
      <w:r w:rsidR="001D1DCA">
        <w:fldChar w:fldCharType="begin"/>
      </w:r>
      <w:r w:rsidR="001D1DCA">
        <w:instrText xml:space="preserve"> XE "</w:instrText>
      </w:r>
      <w:r w:rsidR="001D1DCA" w:rsidRPr="002D7689">
        <w:instrText>reasons</w:instrText>
      </w:r>
      <w:r w:rsidR="001D1DCA">
        <w:instrText xml:space="preserve">" </w:instrText>
      </w:r>
      <w:r w:rsidR="001D1DCA">
        <w:fldChar w:fldCharType="end"/>
      </w:r>
      <w:r>
        <w:t xml:space="preserve"> of the VRB is mailed to each party, the applicant’s representative and, under the VEA the Department of Veterans’ Affairs or under the MRCA for currently serving members, the relevant service chief.</w:t>
      </w:r>
    </w:p>
    <w:p w:rsidR="008A5EC2" w:rsidRDefault="000B3C1A" w:rsidP="000B3C1A">
      <w:r>
        <w:t>The VRB decision may affirm, vary or set aside the decision under review. If the decision is to set aside, the VRB must substitute its own decision. The VRB also has a broad power of remittal.</w:t>
      </w:r>
    </w:p>
    <w:p w:rsidR="00085327" w:rsidRDefault="00085327" w:rsidP="00085327">
      <w:pPr>
        <w:keepLines/>
      </w:pPr>
      <w:r>
        <w:lastRenderedPageBreak/>
        <w:t>The VRB may adjourn the hearing of a review, either at the request of the parties or of its own volition. Upon an adjournment the VRB may also request the Secretary of the Department of Veterans’ Affairs or the MRCC to seek additional information, reports or evidence for consideration by the VRB. If the Department is requested to provide further information, the cost is met by the Department and not the applicant and/or their representative.</w:t>
      </w:r>
    </w:p>
    <w:p w:rsidR="00085327" w:rsidRDefault="00085327" w:rsidP="00085327">
      <w:pPr>
        <w:pStyle w:val="Heading3"/>
      </w:pPr>
      <w:r>
        <w:t>VISION, PURPOSE AND VALUES</w:t>
      </w:r>
    </w:p>
    <w:p w:rsidR="00085327" w:rsidRDefault="00085327" w:rsidP="00085327">
      <w:pPr>
        <w:pStyle w:val="Heading3"/>
      </w:pPr>
      <w:r>
        <w:t>Our Outcome</w:t>
      </w:r>
    </w:p>
    <w:p w:rsidR="00085327" w:rsidRDefault="00085327" w:rsidP="00085327">
      <w:r>
        <w:t>Pursuant to section 133A of the VEA, our aim is to provide a means of review that is fair, just, economical, informal and quick in an environment that ensures respect for the service of applicants and dignity in the conduct of proceedings.</w:t>
      </w:r>
    </w:p>
    <w:p w:rsidR="00085327" w:rsidRDefault="00085327" w:rsidP="00085327">
      <w:pPr>
        <w:pStyle w:val="Heading3"/>
      </w:pPr>
      <w:r>
        <w:t>Our Mission</w:t>
      </w:r>
    </w:p>
    <w:p w:rsidR="00085327" w:rsidRDefault="00085327" w:rsidP="00085327">
      <w:r>
        <w:t>To deliver high quality independent merits review of decisions and determinations in a timely fashion using alternative dispute resolution</w:t>
      </w:r>
      <w:r w:rsidR="00EC32B8">
        <w:fldChar w:fldCharType="begin"/>
      </w:r>
      <w:r w:rsidR="00EC32B8">
        <w:instrText xml:space="preserve"> XE "</w:instrText>
      </w:r>
      <w:r w:rsidR="00EC32B8" w:rsidRPr="003924C2">
        <w:instrText>alternative dispute resolution</w:instrText>
      </w:r>
      <w:r w:rsidR="00EC32B8">
        <w:instrText xml:space="preserve">" </w:instrText>
      </w:r>
      <w:r w:rsidR="00EC32B8">
        <w:fldChar w:fldCharType="end"/>
      </w:r>
      <w:r>
        <w:t xml:space="preserve"> processes.</w:t>
      </w:r>
    </w:p>
    <w:p w:rsidR="00085327" w:rsidRDefault="00085327" w:rsidP="00085327">
      <w:pPr>
        <w:pStyle w:val="Heading3"/>
      </w:pPr>
      <w:r>
        <w:t>Our Values</w:t>
      </w:r>
    </w:p>
    <w:p w:rsidR="00085327" w:rsidRDefault="00085327" w:rsidP="00085327">
      <w:r>
        <w:t>The Board seeks to integrate administrative law values of fairness, openness, accessibility and efficiency with high standards of professionalism reflecting independent and impartial minds, respect for the dignity of others, personal integrity and diligence.</w:t>
      </w:r>
    </w:p>
    <w:p w:rsidR="000B3C1A" w:rsidRDefault="00085327" w:rsidP="00085327">
      <w:pPr>
        <w:pStyle w:val="Heading2"/>
      </w:pPr>
      <w:bookmarkStart w:id="11" w:name="_Toc532322365"/>
      <w:r>
        <w:t>The VRB at a glance 2017–18</w:t>
      </w:r>
      <w:bookmarkEnd w:id="11"/>
    </w:p>
    <w:tbl>
      <w:tblPr>
        <w:tblStyle w:val="TableGrid"/>
        <w:tblW w:w="5000" w:type="pct"/>
        <w:tblBorders>
          <w:top w:val="single" w:sz="4" w:space="0" w:color="A39892"/>
          <w:left w:val="single" w:sz="4" w:space="0" w:color="A39892"/>
          <w:bottom w:val="single" w:sz="4" w:space="0" w:color="A39892"/>
          <w:right w:val="single" w:sz="4" w:space="0" w:color="A39892"/>
          <w:insideH w:val="single" w:sz="4" w:space="0" w:color="A39892"/>
          <w:insideV w:val="single" w:sz="4" w:space="0" w:color="A39892"/>
        </w:tblBorders>
        <w:tblLayout w:type="fixed"/>
        <w:tblCellMar>
          <w:left w:w="115" w:type="dxa"/>
          <w:right w:w="115" w:type="dxa"/>
        </w:tblCellMar>
        <w:tblLook w:val="04A0" w:firstRow="1" w:lastRow="0" w:firstColumn="1" w:lastColumn="0" w:noHBand="0" w:noVBand="1"/>
      </w:tblPr>
      <w:tblGrid>
        <w:gridCol w:w="5335"/>
        <w:gridCol w:w="2613"/>
      </w:tblGrid>
      <w:tr w:rsidR="002C36D8" w:rsidRPr="002C36D8" w:rsidTr="002C36D8">
        <w:trPr>
          <w:cantSplit/>
        </w:trPr>
        <w:tc>
          <w:tcPr>
            <w:tcW w:w="5335" w:type="dxa"/>
            <w:shd w:val="clear" w:color="auto" w:fill="A39892"/>
          </w:tcPr>
          <w:p w:rsidR="002C36D8" w:rsidRPr="002C36D8" w:rsidRDefault="002C36D8" w:rsidP="009566D7">
            <w:pPr>
              <w:pStyle w:val="TableText"/>
            </w:pPr>
          </w:p>
        </w:tc>
        <w:tc>
          <w:tcPr>
            <w:tcW w:w="2613" w:type="dxa"/>
            <w:shd w:val="clear" w:color="auto" w:fill="A39892"/>
          </w:tcPr>
          <w:p w:rsidR="002C36D8" w:rsidRPr="002C36D8" w:rsidRDefault="002C36D8" w:rsidP="009566D7">
            <w:pPr>
              <w:pStyle w:val="TableText"/>
            </w:pPr>
          </w:p>
        </w:tc>
      </w:tr>
      <w:tr w:rsidR="002C36D8" w:rsidRPr="002C36D8" w:rsidTr="002C36D8">
        <w:trPr>
          <w:cantSplit/>
        </w:trPr>
        <w:tc>
          <w:tcPr>
            <w:tcW w:w="5335" w:type="dxa"/>
          </w:tcPr>
          <w:p w:rsidR="002C36D8" w:rsidRPr="002C36D8" w:rsidRDefault="002C36D8" w:rsidP="009566D7">
            <w:pPr>
              <w:pStyle w:val="TableText"/>
            </w:pPr>
            <w:r w:rsidRPr="002C36D8">
              <w:t>Applications lodged</w:t>
            </w:r>
          </w:p>
        </w:tc>
        <w:tc>
          <w:tcPr>
            <w:tcW w:w="2613" w:type="dxa"/>
          </w:tcPr>
          <w:p w:rsidR="002C36D8" w:rsidRPr="002C36D8" w:rsidRDefault="002C36D8" w:rsidP="009566D7">
            <w:pPr>
              <w:pStyle w:val="TableText"/>
            </w:pPr>
            <w:r w:rsidRPr="002C36D8">
              <w:t>2923</w:t>
            </w:r>
          </w:p>
        </w:tc>
      </w:tr>
      <w:tr w:rsidR="002C36D8" w:rsidRPr="002C36D8" w:rsidTr="002C36D8">
        <w:trPr>
          <w:cantSplit/>
        </w:trPr>
        <w:tc>
          <w:tcPr>
            <w:tcW w:w="5335" w:type="dxa"/>
          </w:tcPr>
          <w:p w:rsidR="002C36D8" w:rsidRPr="002C36D8" w:rsidRDefault="002C36D8" w:rsidP="009566D7">
            <w:pPr>
              <w:pStyle w:val="TableText"/>
            </w:pPr>
            <w:r w:rsidRPr="002C36D8">
              <w:t>Applications decided</w:t>
            </w:r>
            <w:r w:rsidR="00EC32B8">
              <w:fldChar w:fldCharType="begin"/>
            </w:r>
            <w:r w:rsidR="00EC32B8">
              <w:instrText xml:space="preserve"> XE "</w:instrText>
            </w:r>
            <w:r w:rsidR="00EC32B8" w:rsidRPr="00B56C8C">
              <w:instrText>applications:finalised</w:instrText>
            </w:r>
            <w:r w:rsidR="00EC32B8">
              <w:instrText xml:space="preserve">" </w:instrText>
            </w:r>
            <w:r w:rsidR="00EC32B8">
              <w:fldChar w:fldCharType="end"/>
            </w:r>
          </w:p>
        </w:tc>
        <w:tc>
          <w:tcPr>
            <w:tcW w:w="2613" w:type="dxa"/>
          </w:tcPr>
          <w:p w:rsidR="002C36D8" w:rsidRPr="002C36D8" w:rsidRDefault="002C36D8" w:rsidP="009566D7">
            <w:pPr>
              <w:pStyle w:val="TableText"/>
            </w:pPr>
            <w:r w:rsidRPr="002C36D8">
              <w:t>2780</w:t>
            </w:r>
          </w:p>
        </w:tc>
      </w:tr>
      <w:tr w:rsidR="002C36D8" w:rsidRPr="002C36D8" w:rsidTr="002C36D8">
        <w:trPr>
          <w:cantSplit/>
        </w:trPr>
        <w:tc>
          <w:tcPr>
            <w:tcW w:w="5335" w:type="dxa"/>
          </w:tcPr>
          <w:p w:rsidR="002C36D8" w:rsidRPr="002C36D8" w:rsidRDefault="002C36D8" w:rsidP="009566D7">
            <w:pPr>
              <w:pStyle w:val="TableText"/>
            </w:pPr>
            <w:r w:rsidRPr="002C36D8">
              <w:t>Applications on hand</w:t>
            </w:r>
            <w:r w:rsidR="00EC32B8">
              <w:fldChar w:fldCharType="begin"/>
            </w:r>
            <w:r w:rsidR="00EC32B8">
              <w:instrText xml:space="preserve"> XE "</w:instrText>
            </w:r>
            <w:r w:rsidR="00EC32B8" w:rsidRPr="009A4108">
              <w:instrText>applications:outstanding</w:instrText>
            </w:r>
            <w:r w:rsidR="00EC32B8">
              <w:instrText xml:space="preserve">" </w:instrText>
            </w:r>
            <w:r w:rsidR="00EC32B8">
              <w:fldChar w:fldCharType="end"/>
            </w:r>
          </w:p>
        </w:tc>
        <w:tc>
          <w:tcPr>
            <w:tcW w:w="2613" w:type="dxa"/>
          </w:tcPr>
          <w:p w:rsidR="002C36D8" w:rsidRPr="002C36D8" w:rsidRDefault="002C36D8" w:rsidP="009566D7">
            <w:pPr>
              <w:pStyle w:val="TableText"/>
            </w:pPr>
            <w:r w:rsidRPr="002C36D8">
              <w:t>2480</w:t>
            </w:r>
          </w:p>
        </w:tc>
      </w:tr>
      <w:tr w:rsidR="002C36D8" w:rsidRPr="002C36D8" w:rsidTr="002C36D8">
        <w:trPr>
          <w:cantSplit/>
        </w:trPr>
        <w:tc>
          <w:tcPr>
            <w:tcW w:w="5335" w:type="dxa"/>
          </w:tcPr>
          <w:p w:rsidR="002C36D8" w:rsidRPr="002C36D8" w:rsidRDefault="002C36D8" w:rsidP="009566D7">
            <w:pPr>
              <w:pStyle w:val="TableText"/>
            </w:pPr>
            <w:r w:rsidRPr="002C36D8">
              <w:t>% of matters set aside</w:t>
            </w:r>
          </w:p>
        </w:tc>
        <w:tc>
          <w:tcPr>
            <w:tcW w:w="2613" w:type="dxa"/>
          </w:tcPr>
          <w:p w:rsidR="002C36D8" w:rsidRPr="002C36D8" w:rsidRDefault="002C36D8" w:rsidP="009566D7">
            <w:pPr>
              <w:pStyle w:val="TableText"/>
            </w:pPr>
            <w:r w:rsidRPr="002C36D8">
              <w:t>59.8%</w:t>
            </w:r>
          </w:p>
        </w:tc>
      </w:tr>
      <w:tr w:rsidR="002C36D8" w:rsidRPr="002C36D8" w:rsidTr="002C36D8">
        <w:trPr>
          <w:cantSplit/>
        </w:trPr>
        <w:tc>
          <w:tcPr>
            <w:tcW w:w="5335" w:type="dxa"/>
          </w:tcPr>
          <w:p w:rsidR="002C36D8" w:rsidRPr="002C36D8" w:rsidRDefault="002C36D8" w:rsidP="009566D7">
            <w:pPr>
              <w:pStyle w:val="TableText"/>
            </w:pPr>
            <w:r w:rsidRPr="002C36D8">
              <w:t>% of matters affirmed</w:t>
            </w:r>
          </w:p>
        </w:tc>
        <w:tc>
          <w:tcPr>
            <w:tcW w:w="2613" w:type="dxa"/>
          </w:tcPr>
          <w:p w:rsidR="002C36D8" w:rsidRPr="002C36D8" w:rsidRDefault="002C36D8" w:rsidP="009566D7">
            <w:pPr>
              <w:pStyle w:val="TableText"/>
            </w:pPr>
            <w:r w:rsidRPr="002C36D8">
              <w:t>40.2%</w:t>
            </w:r>
          </w:p>
        </w:tc>
      </w:tr>
      <w:tr w:rsidR="002C36D8" w:rsidRPr="002C36D8" w:rsidTr="002C36D8">
        <w:trPr>
          <w:cantSplit/>
        </w:trPr>
        <w:tc>
          <w:tcPr>
            <w:tcW w:w="5335" w:type="dxa"/>
          </w:tcPr>
          <w:p w:rsidR="002C36D8" w:rsidRPr="002C36D8" w:rsidRDefault="002C36D8" w:rsidP="009566D7">
            <w:pPr>
              <w:pStyle w:val="TableText"/>
            </w:pPr>
            <w:r w:rsidRPr="002C36D8">
              <w:t>Average time taken to decide an application (weeks)</w:t>
            </w:r>
          </w:p>
        </w:tc>
        <w:tc>
          <w:tcPr>
            <w:tcW w:w="2613" w:type="dxa"/>
          </w:tcPr>
          <w:p w:rsidR="002C36D8" w:rsidRPr="002C36D8" w:rsidRDefault="002C36D8" w:rsidP="009566D7">
            <w:pPr>
              <w:pStyle w:val="TableText"/>
            </w:pPr>
            <w:r w:rsidRPr="002C36D8">
              <w:t>50</w:t>
            </w:r>
          </w:p>
        </w:tc>
      </w:tr>
      <w:tr w:rsidR="002C36D8" w:rsidRPr="002C36D8" w:rsidTr="002C36D8">
        <w:trPr>
          <w:cantSplit/>
        </w:trPr>
        <w:tc>
          <w:tcPr>
            <w:tcW w:w="5335" w:type="dxa"/>
          </w:tcPr>
          <w:p w:rsidR="002C36D8" w:rsidRPr="002C36D8" w:rsidRDefault="002C36D8" w:rsidP="009566D7">
            <w:pPr>
              <w:pStyle w:val="TableText"/>
            </w:pPr>
            <w:r w:rsidRPr="002C36D8">
              <w:t>% of decided cases where applicant represented</w:t>
            </w:r>
          </w:p>
        </w:tc>
        <w:tc>
          <w:tcPr>
            <w:tcW w:w="2613" w:type="dxa"/>
          </w:tcPr>
          <w:p w:rsidR="002C36D8" w:rsidRPr="002C36D8" w:rsidRDefault="002C36D8" w:rsidP="009566D7">
            <w:pPr>
              <w:pStyle w:val="TableText"/>
            </w:pPr>
            <w:r w:rsidRPr="002C36D8">
              <w:t>80.2%</w:t>
            </w:r>
          </w:p>
        </w:tc>
      </w:tr>
      <w:tr w:rsidR="002C36D8" w:rsidRPr="002C36D8" w:rsidTr="002C36D8">
        <w:trPr>
          <w:cantSplit/>
        </w:trPr>
        <w:tc>
          <w:tcPr>
            <w:tcW w:w="5335" w:type="dxa"/>
          </w:tcPr>
          <w:p w:rsidR="002C36D8" w:rsidRPr="002C36D8" w:rsidRDefault="002C36D8" w:rsidP="009566D7">
            <w:pPr>
              <w:pStyle w:val="TableText"/>
            </w:pPr>
            <w:r w:rsidRPr="002C36D8">
              <w:t>Hearings arranged</w:t>
            </w:r>
          </w:p>
        </w:tc>
        <w:tc>
          <w:tcPr>
            <w:tcW w:w="2613" w:type="dxa"/>
          </w:tcPr>
          <w:p w:rsidR="002C36D8" w:rsidRPr="002C36D8" w:rsidRDefault="002C36D8" w:rsidP="009566D7">
            <w:pPr>
              <w:pStyle w:val="TableText"/>
            </w:pPr>
            <w:r w:rsidRPr="002C36D8">
              <w:t>1108</w:t>
            </w:r>
          </w:p>
        </w:tc>
      </w:tr>
      <w:tr w:rsidR="002C36D8" w:rsidRPr="002C36D8" w:rsidTr="002C36D8">
        <w:trPr>
          <w:cantSplit/>
        </w:trPr>
        <w:tc>
          <w:tcPr>
            <w:tcW w:w="5335" w:type="dxa"/>
          </w:tcPr>
          <w:p w:rsidR="002C36D8" w:rsidRPr="002C36D8" w:rsidRDefault="002C36D8" w:rsidP="009566D7">
            <w:pPr>
              <w:pStyle w:val="TableText"/>
            </w:pPr>
            <w:r w:rsidRPr="002C36D8">
              <w:t>Directions hearings arranged</w:t>
            </w:r>
          </w:p>
        </w:tc>
        <w:tc>
          <w:tcPr>
            <w:tcW w:w="2613" w:type="dxa"/>
          </w:tcPr>
          <w:p w:rsidR="002C36D8" w:rsidRPr="002C36D8" w:rsidRDefault="002C36D8" w:rsidP="009566D7">
            <w:pPr>
              <w:pStyle w:val="TableText"/>
            </w:pPr>
            <w:r w:rsidRPr="002C36D8">
              <w:t>211</w:t>
            </w:r>
          </w:p>
        </w:tc>
      </w:tr>
      <w:tr w:rsidR="002C36D8" w:rsidRPr="002C36D8" w:rsidTr="002C36D8">
        <w:trPr>
          <w:cantSplit/>
        </w:trPr>
        <w:tc>
          <w:tcPr>
            <w:tcW w:w="5335" w:type="dxa"/>
          </w:tcPr>
          <w:p w:rsidR="002C36D8" w:rsidRPr="002C36D8" w:rsidRDefault="002C36D8" w:rsidP="009566D7">
            <w:pPr>
              <w:pStyle w:val="TableText"/>
            </w:pPr>
            <w:r w:rsidRPr="002C36D8">
              <w:t>% of decided cases where hearing held</w:t>
            </w:r>
          </w:p>
        </w:tc>
        <w:tc>
          <w:tcPr>
            <w:tcW w:w="2613" w:type="dxa"/>
          </w:tcPr>
          <w:p w:rsidR="002C36D8" w:rsidRPr="002C36D8" w:rsidRDefault="002C36D8" w:rsidP="009566D7">
            <w:pPr>
              <w:pStyle w:val="TableText"/>
            </w:pPr>
            <w:r w:rsidRPr="002C36D8">
              <w:t>34.9%</w:t>
            </w:r>
          </w:p>
        </w:tc>
      </w:tr>
      <w:tr w:rsidR="002C36D8" w:rsidRPr="002C36D8" w:rsidTr="002C36D8">
        <w:trPr>
          <w:cantSplit/>
        </w:trPr>
        <w:tc>
          <w:tcPr>
            <w:tcW w:w="5335" w:type="dxa"/>
          </w:tcPr>
          <w:p w:rsidR="002C36D8" w:rsidRPr="002C36D8" w:rsidRDefault="002C36D8" w:rsidP="009566D7">
            <w:pPr>
              <w:pStyle w:val="TableText"/>
            </w:pPr>
            <w:r w:rsidRPr="002C36D8">
              <w:t>% of applications appealed to the AAT</w:t>
            </w:r>
          </w:p>
        </w:tc>
        <w:tc>
          <w:tcPr>
            <w:tcW w:w="2613" w:type="dxa"/>
          </w:tcPr>
          <w:p w:rsidR="002C36D8" w:rsidRPr="002C36D8" w:rsidRDefault="002C36D8" w:rsidP="009566D7">
            <w:pPr>
              <w:pStyle w:val="TableText"/>
            </w:pPr>
            <w:r w:rsidRPr="002C36D8">
              <w:t>6.7%</w:t>
            </w:r>
          </w:p>
        </w:tc>
      </w:tr>
      <w:tr w:rsidR="002C36D8" w:rsidRPr="002C36D8" w:rsidTr="002C36D8">
        <w:trPr>
          <w:cantSplit/>
        </w:trPr>
        <w:tc>
          <w:tcPr>
            <w:tcW w:w="5335" w:type="dxa"/>
          </w:tcPr>
          <w:p w:rsidR="002C36D8" w:rsidRPr="002C36D8" w:rsidRDefault="002C36D8" w:rsidP="009566D7">
            <w:pPr>
              <w:pStyle w:val="TableText"/>
            </w:pPr>
            <w:r w:rsidRPr="002C36D8">
              <w:t>Members</w:t>
            </w:r>
          </w:p>
        </w:tc>
        <w:tc>
          <w:tcPr>
            <w:tcW w:w="2613" w:type="dxa"/>
          </w:tcPr>
          <w:p w:rsidR="002C36D8" w:rsidRPr="002C36D8" w:rsidRDefault="002C36D8" w:rsidP="009566D7">
            <w:pPr>
              <w:pStyle w:val="TableText"/>
            </w:pPr>
            <w:r w:rsidRPr="002C36D8">
              <w:t>32</w:t>
            </w:r>
          </w:p>
        </w:tc>
      </w:tr>
      <w:tr w:rsidR="002C36D8" w:rsidRPr="002C36D8" w:rsidTr="002C36D8">
        <w:trPr>
          <w:cantSplit/>
        </w:trPr>
        <w:tc>
          <w:tcPr>
            <w:tcW w:w="5335" w:type="dxa"/>
          </w:tcPr>
          <w:p w:rsidR="002C36D8" w:rsidRPr="002C36D8" w:rsidRDefault="002C36D8" w:rsidP="009566D7">
            <w:pPr>
              <w:pStyle w:val="TableText"/>
            </w:pPr>
            <w:r w:rsidRPr="002C36D8">
              <w:t>Staff</w:t>
            </w:r>
            <w:r w:rsidR="0005789C">
              <w:fldChar w:fldCharType="begin"/>
            </w:r>
            <w:r w:rsidR="0005789C">
              <w:instrText xml:space="preserve"> XE "s</w:instrText>
            </w:r>
            <w:r w:rsidR="0005789C" w:rsidRPr="002D7689">
              <w:instrText>taff</w:instrText>
            </w:r>
            <w:r w:rsidR="0005789C">
              <w:instrText xml:space="preserve">" </w:instrText>
            </w:r>
            <w:r w:rsidR="0005789C">
              <w:fldChar w:fldCharType="end"/>
            </w:r>
            <w:r w:rsidRPr="002C36D8">
              <w:t xml:space="preserve"> (FTE)</w:t>
            </w:r>
          </w:p>
        </w:tc>
        <w:tc>
          <w:tcPr>
            <w:tcW w:w="2613" w:type="dxa"/>
          </w:tcPr>
          <w:p w:rsidR="002C36D8" w:rsidRPr="002C36D8" w:rsidRDefault="002C36D8" w:rsidP="009566D7">
            <w:pPr>
              <w:pStyle w:val="TableText"/>
            </w:pPr>
            <w:r w:rsidRPr="002C36D8">
              <w:t>28.5</w:t>
            </w:r>
          </w:p>
        </w:tc>
      </w:tr>
      <w:tr w:rsidR="002C36D8" w:rsidRPr="002C36D8" w:rsidTr="002C36D8">
        <w:trPr>
          <w:cantSplit/>
        </w:trPr>
        <w:tc>
          <w:tcPr>
            <w:tcW w:w="5335" w:type="dxa"/>
          </w:tcPr>
          <w:p w:rsidR="002C36D8" w:rsidRPr="002C36D8" w:rsidRDefault="002C36D8" w:rsidP="002C36D8">
            <w:pPr>
              <w:pStyle w:val="TableText"/>
              <w:keepNext w:val="0"/>
            </w:pPr>
            <w:r w:rsidRPr="002C36D8">
              <w:t>Cost</w:t>
            </w:r>
          </w:p>
        </w:tc>
        <w:tc>
          <w:tcPr>
            <w:tcW w:w="2613" w:type="dxa"/>
          </w:tcPr>
          <w:p w:rsidR="002C36D8" w:rsidRPr="002C36D8" w:rsidRDefault="002C36D8" w:rsidP="002C36D8">
            <w:pPr>
              <w:pStyle w:val="TableText"/>
              <w:keepNext w:val="0"/>
            </w:pPr>
            <w:r w:rsidRPr="002C36D8">
              <w:t>$6.03M</w:t>
            </w:r>
          </w:p>
        </w:tc>
      </w:tr>
    </w:tbl>
    <w:p w:rsidR="002C36D8" w:rsidRDefault="00845DFB" w:rsidP="00845DFB">
      <w:pPr>
        <w:pStyle w:val="Heading2"/>
      </w:pPr>
      <w:bookmarkStart w:id="12" w:name="_Toc532322366"/>
      <w:r>
        <w:lastRenderedPageBreak/>
        <w:t>Membership</w:t>
      </w:r>
      <w:r w:rsidR="0018474C">
        <w:fldChar w:fldCharType="begin"/>
      </w:r>
      <w:r w:rsidR="0018474C">
        <w:instrText xml:space="preserve"> XE "</w:instrText>
      </w:r>
      <w:r w:rsidR="0018474C" w:rsidRPr="003924C2">
        <w:instrText>membership</w:instrText>
      </w:r>
      <w:r w:rsidR="0018474C">
        <w:instrText xml:space="preserve">" </w:instrText>
      </w:r>
      <w:r w:rsidR="0018474C">
        <w:fldChar w:fldCharType="end"/>
      </w:r>
      <w:r>
        <w:t xml:space="preserve"> of the VRB as at 30 June 2018</w:t>
      </w:r>
      <w:bookmarkEnd w:id="12"/>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974"/>
        <w:gridCol w:w="3974"/>
      </w:tblGrid>
      <w:tr w:rsidR="00845DFB" w:rsidTr="00845DFB">
        <w:trPr>
          <w:cantSplit/>
        </w:trPr>
        <w:tc>
          <w:tcPr>
            <w:tcW w:w="3967" w:type="dxa"/>
          </w:tcPr>
          <w:p w:rsidR="00845DFB" w:rsidRDefault="00845DFB" w:rsidP="00845DFB">
            <w:pPr>
              <w:pStyle w:val="Heading3"/>
            </w:pPr>
            <w:r>
              <w:t>AUSTRALIAN CAPITAL TERRITORY</w:t>
            </w:r>
          </w:p>
          <w:p w:rsidR="00845DFB" w:rsidRDefault="00845DFB" w:rsidP="00845DFB">
            <w:pPr>
              <w:pStyle w:val="Heading4"/>
            </w:pPr>
            <w:r>
              <w:t>Part-Time Senior Member:</w:t>
            </w:r>
          </w:p>
          <w:p w:rsidR="00845DFB" w:rsidRDefault="00845DFB" w:rsidP="00845DFB">
            <w:r>
              <w:t>June McPhie</w:t>
            </w:r>
          </w:p>
          <w:p w:rsidR="00845DFB" w:rsidRDefault="00845DFB" w:rsidP="00845DFB">
            <w:pPr>
              <w:pStyle w:val="Heading4"/>
            </w:pPr>
            <w:r>
              <w:t>Part-Time Services Member:</w:t>
            </w:r>
          </w:p>
          <w:p w:rsidR="00845DFB" w:rsidRDefault="00845DFB" w:rsidP="00845DFB">
            <w:r>
              <w:t>Mark Bornholt</w:t>
            </w:r>
          </w:p>
          <w:p w:rsidR="00845DFB" w:rsidRDefault="00845DFB" w:rsidP="00845DFB">
            <w:pPr>
              <w:pStyle w:val="Heading4"/>
            </w:pPr>
            <w:r>
              <w:t>Part-Time Member:</w:t>
            </w:r>
          </w:p>
          <w:p w:rsidR="00845DFB" w:rsidRDefault="00845DFB" w:rsidP="00845DFB">
            <w:r>
              <w:t>Josephine Lumb</w:t>
            </w:r>
          </w:p>
          <w:p w:rsidR="00845DFB" w:rsidRDefault="00845DFB" w:rsidP="00845DFB">
            <w:pPr>
              <w:pStyle w:val="Heading3"/>
            </w:pPr>
            <w:r>
              <w:t>NEW SOUTH WALES</w:t>
            </w:r>
          </w:p>
          <w:p w:rsidR="00845DFB" w:rsidRDefault="00845DFB" w:rsidP="00845DFB">
            <w:pPr>
              <w:pStyle w:val="Heading4"/>
            </w:pPr>
            <w:r>
              <w:t>Part-Time Senior Member:</w:t>
            </w:r>
          </w:p>
          <w:p w:rsidR="00845DFB" w:rsidRDefault="00845DFB" w:rsidP="00845DFB">
            <w:pPr>
              <w:spacing w:after="0"/>
            </w:pPr>
            <w:r>
              <w:t>Robyn Bailey</w:t>
            </w:r>
          </w:p>
          <w:p w:rsidR="00845DFB" w:rsidRDefault="00845DFB" w:rsidP="00845DFB">
            <w:pPr>
              <w:spacing w:after="0"/>
            </w:pPr>
            <w:r>
              <w:t>Jenny D’Arcy</w:t>
            </w:r>
          </w:p>
          <w:p w:rsidR="00845DFB" w:rsidRDefault="00845DFB" w:rsidP="00845DFB">
            <w:pPr>
              <w:spacing w:after="0"/>
            </w:pPr>
            <w:r>
              <w:t>Hilary Kramer</w:t>
            </w:r>
          </w:p>
          <w:p w:rsidR="00845DFB" w:rsidRDefault="00845DFB" w:rsidP="00845DFB">
            <w:pPr>
              <w:spacing w:after="0"/>
            </w:pPr>
            <w:r>
              <w:t>Jillian Moir</w:t>
            </w:r>
          </w:p>
          <w:p w:rsidR="00845DFB" w:rsidRDefault="00845DFB" w:rsidP="00845DFB">
            <w:r>
              <w:t>Les Young</w:t>
            </w:r>
          </w:p>
          <w:p w:rsidR="00845DFB" w:rsidRDefault="00845DFB" w:rsidP="00845DFB">
            <w:pPr>
              <w:pStyle w:val="Heading4"/>
            </w:pPr>
            <w:r>
              <w:t>Part-Time Services Member:</w:t>
            </w:r>
          </w:p>
          <w:p w:rsidR="00845DFB" w:rsidRDefault="00845DFB" w:rsidP="00845DFB">
            <w:pPr>
              <w:spacing w:after="0"/>
            </w:pPr>
            <w:r>
              <w:t>Simon Hart</w:t>
            </w:r>
          </w:p>
          <w:p w:rsidR="00845DFB" w:rsidRDefault="00845DFB" w:rsidP="00845DFB">
            <w:pPr>
              <w:spacing w:after="0"/>
            </w:pPr>
            <w:r>
              <w:t>Bruce Wood</w:t>
            </w:r>
          </w:p>
          <w:p w:rsidR="00845DFB" w:rsidRDefault="00845DFB" w:rsidP="00845DFB">
            <w:pPr>
              <w:spacing w:after="0"/>
            </w:pPr>
            <w:r>
              <w:t>Warwick Young</w:t>
            </w:r>
          </w:p>
          <w:p w:rsidR="00845DFB" w:rsidRDefault="00845DFB" w:rsidP="00845DFB">
            <w:r>
              <w:t>Nadine Crimston</w:t>
            </w:r>
          </w:p>
          <w:p w:rsidR="00845DFB" w:rsidRDefault="00845DFB" w:rsidP="00845DFB">
            <w:pPr>
              <w:pStyle w:val="Heading4"/>
            </w:pPr>
            <w:r>
              <w:t>Part-Time Member:</w:t>
            </w:r>
          </w:p>
          <w:p w:rsidR="00845DFB" w:rsidRDefault="00845DFB" w:rsidP="00845DFB">
            <w:pPr>
              <w:spacing w:after="0"/>
            </w:pPr>
            <w:r>
              <w:t>Frank Brown</w:t>
            </w:r>
          </w:p>
          <w:p w:rsidR="00845DFB" w:rsidRDefault="00845DFB" w:rsidP="00845DFB">
            <w:pPr>
              <w:spacing w:after="0"/>
            </w:pPr>
            <w:r>
              <w:t>Christopher Keher</w:t>
            </w:r>
          </w:p>
          <w:p w:rsidR="00845DFB" w:rsidRDefault="00845DFB" w:rsidP="00845DFB">
            <w:r>
              <w:t>Neville Wyatt</w:t>
            </w:r>
          </w:p>
          <w:p w:rsidR="00845DFB" w:rsidRDefault="00845DFB" w:rsidP="00845DFB">
            <w:pPr>
              <w:pStyle w:val="Heading3"/>
            </w:pPr>
            <w:r>
              <w:t>VICTORIA</w:t>
            </w:r>
          </w:p>
          <w:p w:rsidR="00845DFB" w:rsidRDefault="00845DFB" w:rsidP="00845DFB">
            <w:pPr>
              <w:pStyle w:val="Heading4"/>
            </w:pPr>
            <w:r>
              <w:t>Part-Time Senior Member:</w:t>
            </w:r>
          </w:p>
          <w:p w:rsidR="00845DFB" w:rsidRDefault="00845DFB" w:rsidP="00845DFB">
            <w:pPr>
              <w:spacing w:after="0"/>
            </w:pPr>
            <w:r>
              <w:t>Robert Douglass</w:t>
            </w:r>
          </w:p>
          <w:p w:rsidR="00845DFB" w:rsidRDefault="00845DFB" w:rsidP="00845DFB">
            <w:r>
              <w:t>Christopher Wray</w:t>
            </w:r>
          </w:p>
          <w:p w:rsidR="00845DFB" w:rsidRDefault="00845DFB" w:rsidP="00845DFB">
            <w:pPr>
              <w:pStyle w:val="Heading4"/>
            </w:pPr>
            <w:r>
              <w:t>Part-Time Services Member:</w:t>
            </w:r>
          </w:p>
          <w:p w:rsidR="00845DFB" w:rsidRDefault="00845DFB" w:rsidP="00845DFB">
            <w:r>
              <w:t>Rob Regan</w:t>
            </w:r>
          </w:p>
          <w:p w:rsidR="00845DFB" w:rsidRDefault="00845DFB" w:rsidP="00845DFB">
            <w:pPr>
              <w:pStyle w:val="Heading4"/>
            </w:pPr>
            <w:r>
              <w:t>Part-Time Member:</w:t>
            </w:r>
          </w:p>
          <w:p w:rsidR="00845DFB" w:rsidRDefault="00845DFB" w:rsidP="00845DFB">
            <w:pPr>
              <w:spacing w:after="0"/>
            </w:pPr>
            <w:r>
              <w:t>Sharon Brennan</w:t>
            </w:r>
          </w:p>
          <w:p w:rsidR="00845DFB" w:rsidRDefault="00845DFB" w:rsidP="00845DFB">
            <w:r>
              <w:t>Sandra Kerr</w:t>
            </w:r>
          </w:p>
        </w:tc>
        <w:tc>
          <w:tcPr>
            <w:tcW w:w="3967" w:type="dxa"/>
          </w:tcPr>
          <w:p w:rsidR="00845DFB" w:rsidRDefault="00845DFB" w:rsidP="00845DFB">
            <w:pPr>
              <w:pStyle w:val="Heading3"/>
            </w:pPr>
            <w:r>
              <w:t>QUEENSLAND</w:t>
            </w:r>
          </w:p>
          <w:p w:rsidR="00845DFB" w:rsidRDefault="00845DFB" w:rsidP="00845DFB">
            <w:pPr>
              <w:pStyle w:val="Heading4"/>
            </w:pPr>
            <w:r>
              <w:t>Part-Time Senior Member:</w:t>
            </w:r>
          </w:p>
          <w:p w:rsidR="00845DFB" w:rsidRDefault="00845DFB" w:rsidP="00845DFB">
            <w:pPr>
              <w:spacing w:after="0"/>
            </w:pPr>
            <w:r>
              <w:t>Alison Colvin</w:t>
            </w:r>
          </w:p>
          <w:p w:rsidR="00845DFB" w:rsidRDefault="00845DFB" w:rsidP="00845DFB">
            <w:r>
              <w:t>Tammy Williams</w:t>
            </w:r>
          </w:p>
          <w:p w:rsidR="00845DFB" w:rsidRDefault="00845DFB" w:rsidP="00845DFB">
            <w:pPr>
              <w:pStyle w:val="Heading4"/>
            </w:pPr>
            <w:r>
              <w:t>Part-Time Services Member:</w:t>
            </w:r>
          </w:p>
          <w:p w:rsidR="00845DFB" w:rsidRDefault="00845DFB" w:rsidP="00845DFB">
            <w:pPr>
              <w:spacing w:after="0"/>
            </w:pPr>
            <w:r>
              <w:t>Scott Clark</w:t>
            </w:r>
          </w:p>
          <w:p w:rsidR="00845DFB" w:rsidRDefault="00845DFB" w:rsidP="00845DFB">
            <w:pPr>
              <w:spacing w:after="0"/>
            </w:pPr>
            <w:r>
              <w:t>Christopher Hamilton</w:t>
            </w:r>
          </w:p>
          <w:p w:rsidR="00845DFB" w:rsidRDefault="00845DFB" w:rsidP="00845DFB">
            <w:pPr>
              <w:spacing w:after="0"/>
            </w:pPr>
            <w:r>
              <w:t>Francis Roberts</w:t>
            </w:r>
          </w:p>
          <w:p w:rsidR="00845DFB" w:rsidRDefault="00845DFB" w:rsidP="00845DFB">
            <w:r>
              <w:t>Iain Whitehouse</w:t>
            </w:r>
          </w:p>
          <w:p w:rsidR="00845DFB" w:rsidRDefault="00845DFB" w:rsidP="00845DFB">
            <w:pPr>
              <w:pStyle w:val="Heading4"/>
            </w:pPr>
            <w:r>
              <w:t>Part-Time Member:</w:t>
            </w:r>
          </w:p>
          <w:p w:rsidR="00845DFB" w:rsidRDefault="00845DFB" w:rsidP="00845DFB">
            <w:r>
              <w:t>Christopher Austin</w:t>
            </w:r>
          </w:p>
          <w:p w:rsidR="00845DFB" w:rsidRDefault="00845DFB" w:rsidP="00845DFB">
            <w:pPr>
              <w:pStyle w:val="Heading3"/>
            </w:pPr>
            <w:r>
              <w:t>WESTERN AUSTRALIA</w:t>
            </w:r>
          </w:p>
          <w:p w:rsidR="00845DFB" w:rsidRDefault="00845DFB" w:rsidP="00845DFB">
            <w:pPr>
              <w:pStyle w:val="Heading4"/>
            </w:pPr>
            <w:r>
              <w:t>Part-Time Senior Member:</w:t>
            </w:r>
          </w:p>
          <w:p w:rsidR="00845DFB" w:rsidRDefault="00845DFB" w:rsidP="00845DFB">
            <w:r>
              <w:t>Gary Barrow</w:t>
            </w:r>
          </w:p>
          <w:p w:rsidR="00845DFB" w:rsidRDefault="00845DFB" w:rsidP="00845DFB">
            <w:pPr>
              <w:pStyle w:val="Heading4"/>
            </w:pPr>
            <w:r>
              <w:t>Part-Time Services Member:</w:t>
            </w:r>
          </w:p>
          <w:p w:rsidR="00845DFB" w:rsidRDefault="00845DFB" w:rsidP="00845DFB">
            <w:r>
              <w:t>Louise Hunt</w:t>
            </w:r>
          </w:p>
          <w:p w:rsidR="00845DFB" w:rsidRDefault="00845DFB" w:rsidP="00845DFB">
            <w:pPr>
              <w:pStyle w:val="Heading4"/>
            </w:pPr>
            <w:r>
              <w:t>Part-Time Member:</w:t>
            </w:r>
          </w:p>
          <w:p w:rsidR="00845DFB" w:rsidRDefault="00845DFB" w:rsidP="00845DFB">
            <w:r>
              <w:t>Geoffrey Hourn</w:t>
            </w:r>
          </w:p>
          <w:p w:rsidR="00845DFB" w:rsidRDefault="00845DFB" w:rsidP="00845DFB">
            <w:pPr>
              <w:pStyle w:val="Heading3"/>
            </w:pPr>
            <w:r>
              <w:t>TASMANIA</w:t>
            </w:r>
          </w:p>
          <w:p w:rsidR="00845DFB" w:rsidRDefault="00845DFB" w:rsidP="00845DFB">
            <w:pPr>
              <w:pStyle w:val="Heading4"/>
            </w:pPr>
            <w:r>
              <w:t>Part-Time Member:</w:t>
            </w:r>
          </w:p>
          <w:p w:rsidR="00845DFB" w:rsidRDefault="00845DFB" w:rsidP="00845DFB">
            <w:r>
              <w:t>Linda Corbould</w:t>
            </w:r>
          </w:p>
        </w:tc>
      </w:tr>
    </w:tbl>
    <w:p w:rsidR="00845DFB" w:rsidRDefault="00845DFB" w:rsidP="002C36D8"/>
    <w:p w:rsidR="009566D7" w:rsidRDefault="009566D7" w:rsidP="009566D7">
      <w:pPr>
        <w:autoSpaceDE w:val="0"/>
        <w:autoSpaceDN w:val="0"/>
        <w:adjustRightInd w:val="0"/>
        <w:spacing w:after="0" w:line="240" w:lineRule="auto"/>
        <w:rPr>
          <w:rFonts w:ascii="HelveticaNeue-Light" w:hAnsi="HelveticaNeue-Light" w:cs="HelveticaNeue-Light"/>
          <w:color w:val="000000"/>
          <w:sz w:val="40"/>
          <w:szCs w:val="40"/>
        </w:rPr>
      </w:pPr>
      <w:r>
        <w:rPr>
          <w:rFonts w:ascii="HelveticaNeue-Light" w:hAnsi="HelveticaNeue-Light" w:cs="HelveticaNeue-Light"/>
          <w:color w:val="000000"/>
          <w:sz w:val="40"/>
          <w:szCs w:val="40"/>
        </w:rPr>
        <w:lastRenderedPageBreak/>
        <w:t>Staff</w:t>
      </w:r>
      <w:r w:rsidR="0005789C">
        <w:rPr>
          <w:rFonts w:ascii="HelveticaNeue-Light" w:hAnsi="HelveticaNeue-Light" w:cs="HelveticaNeue-Light"/>
          <w:color w:val="000000"/>
          <w:sz w:val="40"/>
          <w:szCs w:val="40"/>
        </w:rPr>
        <w:fldChar w:fldCharType="begin"/>
      </w:r>
      <w:r w:rsidR="0005789C">
        <w:instrText xml:space="preserve"> XE "</w:instrText>
      </w:r>
      <w:r w:rsidR="0005789C">
        <w:rPr>
          <w:rFonts w:ascii="HelveticaNeue-Light" w:hAnsi="HelveticaNeue-Light" w:cs="HelveticaNeue-Light"/>
          <w:color w:val="000000"/>
          <w:sz w:val="40"/>
          <w:szCs w:val="40"/>
        </w:rPr>
        <w:instrText>s</w:instrText>
      </w:r>
      <w:r w:rsidR="0005789C" w:rsidRPr="002D7689">
        <w:rPr>
          <w:rFonts w:ascii="HelveticaNeue-Light" w:hAnsi="HelveticaNeue-Light" w:cs="HelveticaNeue-Light"/>
          <w:color w:val="000000"/>
          <w:sz w:val="40"/>
          <w:szCs w:val="40"/>
        </w:rPr>
        <w:instrText>taff</w:instrText>
      </w:r>
      <w:r w:rsidR="0005789C">
        <w:instrText xml:space="preserve">" </w:instrText>
      </w:r>
      <w:r w:rsidR="0005789C">
        <w:rPr>
          <w:rFonts w:ascii="HelveticaNeue-Light" w:hAnsi="HelveticaNeue-Light" w:cs="HelveticaNeue-Light"/>
          <w:color w:val="000000"/>
          <w:sz w:val="40"/>
          <w:szCs w:val="40"/>
        </w:rPr>
        <w:fldChar w:fldCharType="end"/>
      </w:r>
      <w:r>
        <w:rPr>
          <w:rFonts w:ascii="HelveticaNeue-Light" w:hAnsi="HelveticaNeue-Light" w:cs="HelveticaNeue-Light"/>
          <w:color w:val="000000"/>
          <w:sz w:val="40"/>
          <w:szCs w:val="40"/>
        </w:rPr>
        <w:t xml:space="preserve"> organisational chart as at 30 June 2018</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974"/>
        <w:gridCol w:w="3974"/>
      </w:tblGrid>
      <w:tr w:rsidR="00F15279" w:rsidTr="008D48CC">
        <w:trPr>
          <w:cantSplit/>
        </w:trPr>
        <w:tc>
          <w:tcPr>
            <w:tcW w:w="7948" w:type="dxa"/>
            <w:gridSpan w:val="2"/>
          </w:tcPr>
          <w:p w:rsidR="00F15279" w:rsidRDefault="00F15279" w:rsidP="00F15279">
            <w:pPr>
              <w:pStyle w:val="Heading3"/>
              <w:jc w:val="center"/>
            </w:pPr>
            <w:r>
              <w:t>Principal Member</w:t>
            </w:r>
            <w:r w:rsidR="001D1DCA">
              <w:fldChar w:fldCharType="begin"/>
            </w:r>
            <w:r w:rsidR="001D1DCA">
              <w:instrText xml:space="preserve"> XE "</w:instrText>
            </w:r>
            <w:r w:rsidR="001D1DCA" w:rsidRPr="002D7689">
              <w:instrText>Principal Member</w:instrText>
            </w:r>
            <w:r w:rsidR="001D1DCA">
              <w:instrText xml:space="preserve">" </w:instrText>
            </w:r>
            <w:r w:rsidR="001D1DCA">
              <w:fldChar w:fldCharType="end"/>
            </w:r>
          </w:p>
          <w:p w:rsidR="00F15279" w:rsidRDefault="00F15279" w:rsidP="00F15279">
            <w:pPr>
              <w:jc w:val="center"/>
            </w:pPr>
            <w:r>
              <w:rPr>
                <w:noProof/>
                <w:lang w:eastAsia="en-AU"/>
              </w:rPr>
              <mc:AlternateContent>
                <mc:Choice Requires="wpg">
                  <w:drawing>
                    <wp:anchor distT="0" distB="0" distL="114300" distR="114300" simplePos="0" relativeHeight="251695104" behindDoc="0" locked="0" layoutInCell="1" allowOverlap="1">
                      <wp:simplePos x="0" y="0"/>
                      <wp:positionH relativeFrom="column">
                        <wp:posOffset>1170940</wp:posOffset>
                      </wp:positionH>
                      <wp:positionV relativeFrom="paragraph">
                        <wp:posOffset>200246</wp:posOffset>
                      </wp:positionV>
                      <wp:extent cx="2431415" cy="1594237"/>
                      <wp:effectExtent l="0" t="0" r="26035" b="25400"/>
                      <wp:wrapNone/>
                      <wp:docPr id="19" name="Group 19"/>
                      <wp:cNvGraphicFramePr/>
                      <a:graphic xmlns:a="http://schemas.openxmlformats.org/drawingml/2006/main">
                        <a:graphicData uri="http://schemas.microsoft.com/office/word/2010/wordprocessingGroup">
                          <wpg:wgp>
                            <wpg:cNvGrpSpPr/>
                            <wpg:grpSpPr>
                              <a:xfrm>
                                <a:off x="0" y="0"/>
                                <a:ext cx="2431415" cy="1594237"/>
                                <a:chOff x="0" y="0"/>
                                <a:chExt cx="2431415" cy="1594237"/>
                              </a:xfrm>
                            </wpg:grpSpPr>
                            <wps:wsp>
                              <wps:cNvPr id="3" name="Straight Connector 3"/>
                              <wps:cNvCnPr/>
                              <wps:spPr>
                                <a:xfrm>
                                  <a:off x="1272209" y="0"/>
                                  <a:ext cx="0" cy="630555"/>
                                </a:xfrm>
                                <a:prstGeom prst="line">
                                  <a:avLst/>
                                </a:prstGeom>
                                <a:ln>
                                  <a:solidFill>
                                    <a:srgbClr val="A39892"/>
                                  </a:solidFill>
                                </a:ln>
                              </wps:spPr>
                              <wps:style>
                                <a:lnRef idx="1">
                                  <a:schemeClr val="accent1"/>
                                </a:lnRef>
                                <a:fillRef idx="0">
                                  <a:schemeClr val="accent1"/>
                                </a:fillRef>
                                <a:effectRef idx="0">
                                  <a:schemeClr val="accent1"/>
                                </a:effectRef>
                                <a:fontRef idx="minor">
                                  <a:schemeClr val="tx1"/>
                                </a:fontRef>
                              </wps:style>
                              <wps:bodyPr/>
                            </wps:wsp>
                            <wpg:grpSp>
                              <wpg:cNvPr id="18" name="Group 18"/>
                              <wpg:cNvGrpSpPr/>
                              <wpg:grpSpPr>
                                <a:xfrm>
                                  <a:off x="0" y="1232452"/>
                                  <a:ext cx="2431415" cy="361785"/>
                                  <a:chOff x="0" y="0"/>
                                  <a:chExt cx="2431415" cy="361785"/>
                                </a:xfrm>
                              </wpg:grpSpPr>
                              <wps:wsp>
                                <wps:cNvPr id="5" name="Straight Connector 5"/>
                                <wps:cNvCnPr/>
                                <wps:spPr>
                                  <a:xfrm>
                                    <a:off x="1272209" y="0"/>
                                    <a:ext cx="0" cy="182880"/>
                                  </a:xfrm>
                                  <a:prstGeom prst="line">
                                    <a:avLst/>
                                  </a:prstGeom>
                                  <a:ln>
                                    <a:solidFill>
                                      <a:srgbClr val="A39892"/>
                                    </a:solidFill>
                                  </a:ln>
                                </wps:spPr>
                                <wps:style>
                                  <a:lnRef idx="1">
                                    <a:schemeClr val="accent1"/>
                                  </a:lnRef>
                                  <a:fillRef idx="0">
                                    <a:schemeClr val="accent1"/>
                                  </a:fillRef>
                                  <a:effectRef idx="0">
                                    <a:schemeClr val="accent1"/>
                                  </a:effectRef>
                                  <a:fontRef idx="minor">
                                    <a:schemeClr val="tx1"/>
                                  </a:fontRef>
                                </wps:style>
                                <wps:bodyPr/>
                              </wps:wsp>
                              <wps:wsp>
                                <wps:cNvPr id="7" name="Straight Connector 7"/>
                                <wps:cNvCnPr/>
                                <wps:spPr>
                                  <a:xfrm>
                                    <a:off x="0" y="178905"/>
                                    <a:ext cx="2431415" cy="0"/>
                                  </a:xfrm>
                                  <a:prstGeom prst="line">
                                    <a:avLst/>
                                  </a:prstGeom>
                                  <a:ln>
                                    <a:solidFill>
                                      <a:srgbClr val="A39892"/>
                                    </a:solidFill>
                                  </a:ln>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a:off x="0" y="178905"/>
                                    <a:ext cx="0" cy="182880"/>
                                  </a:xfrm>
                                  <a:prstGeom prst="line">
                                    <a:avLst/>
                                  </a:prstGeom>
                                  <a:ln>
                                    <a:solidFill>
                                      <a:srgbClr val="A39892"/>
                                    </a:solidFill>
                                  </a:ln>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wps:spPr>
                                  <a:xfrm>
                                    <a:off x="2425148" y="178905"/>
                                    <a:ext cx="0" cy="182880"/>
                                  </a:xfrm>
                                  <a:prstGeom prst="line">
                                    <a:avLst/>
                                  </a:prstGeom>
                                  <a:ln>
                                    <a:solidFill>
                                      <a:srgbClr val="A39892"/>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 19" o:spid="_x0000_s1026" style="position:absolute;margin-left:92.2pt;margin-top:15.75pt;width:191.45pt;height:125.55pt;z-index:251695104" coordsize="24314,1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">
                      <v:line id="Straight Connector 3" o:spid="_x0000_s1027" style="position:absolute;visibility:visible;mso-wrap-style:square" from="12722,0" to="12722,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QjO8IAAADaAAAADwAAAGRycy9kb3ducmV2LnhtbESPQYvCMBSE7wv+h/CEva2pCuJWo4hQ&#10;UBYRuyJ4ezTPpti8lCZq/fdmYcHjMDPfMPNlZ2txp9ZXjhUMBwkI4sLpiksFx9/sawrCB2SNtWNS&#10;8CQPy0XvY46pdg8+0D0PpYgQ9ikqMCE0qZS+MGTRD1xDHL2Lay2GKNtS6hYfEW5rOUqSibRYcVww&#10;2NDaUHHNbzZSDj+nbN99N35/qny2um7N7nJW6rPfrWYgAnXhHf5vb7SCMfxdiTdAL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bQjO8IAAADaAAAADwAAAAAAAAAAAAAA&#10;AAChAgAAZHJzL2Rvd25yZXYueG1sUEsFBgAAAAAEAAQA+QAAAJADAAAAAA==&#10;" strokecolor="#a39892"/>
                      <v:group id="Group 18" o:spid="_x0000_s1028" style="position:absolute;top:12324;width:24314;height:3618" coordsize="24314,3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line id="Straight Connector 5" o:spid="_x0000_s1029" style="position:absolute;visibility:visible;mso-wrap-style:square" from="12722,0" to="12722,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Ee1MIAAADaAAAADwAAAGRycy9kb3ducmV2LnhtbESPQYvCMBSE7wv+h/CEva2pguJWo4hQ&#10;UBYRuyJ4ezTPpti8lCZq/fdmYcHjMDPfMPNlZ2txp9ZXjhUMBwkI4sLpiksFx9/sawrCB2SNtWNS&#10;8CQPy0XvY46pdg8+0D0PpYgQ9ikqMCE0qZS+MGTRD1xDHL2Lay2GKNtS6hYfEW5rOUqSibRYcVww&#10;2NDaUHHNbzZSDj+nbN99N35/qny2um7N7nJW6rPfrWYgAnXhHf5vb7SCMfxdiTdAL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REe1MIAAADaAAAADwAAAAAAAAAAAAAA&#10;AAChAgAAZHJzL2Rvd25yZXYueG1sUEsFBgAAAAAEAAQA+QAAAJADAAAAAA==&#10;" strokecolor="#a39892"/>
                        <v:line id="Straight Connector 7" o:spid="_x0000_s1030" style="position:absolute;visibility:visible;mso-wrap-style:square" from="0,1789" to="24314,1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8lOMIAAADaAAAADwAAAGRycy9kb3ducmV2LnhtbESPQYvCMBSE7wv+h/CEva2pHtStRhGh&#10;oCwidkXw9mieTbF5KU3U+u/NwoLHYWa+YebLztbiTq2vHCsYDhIQxIXTFZcKjr/Z1xSED8gaa8ek&#10;4EkelovexxxT7R58oHseShEh7FNUYEJoUil9YciiH7iGOHoX11oMUbal1C0+ItzWcpQkY2mx4rhg&#10;sKG1oeKa32ykHH5O2b77bvz+VPlsdd2a3eWs1Ge/W81ABOrCO/zf3mgFE/i7Em+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8lOMIAAADaAAAADwAAAAAAAAAAAAAA&#10;AAChAgAAZHJzL2Rvd25yZXYueG1sUEsFBgAAAAAEAAQA+QAAAJADAAAAAA==&#10;" strokecolor="#a39892"/>
                        <v:line id="Straight Connector 8" o:spid="_x0000_s1031" style="position:absolute;visibility:visible;mso-wrap-style:square" from="0,1789" to="0,3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CxSsIAAADaAAAADwAAAGRycy9kb3ducmV2LnhtbESPwWrCQBCG7wXfYRmht7rRg9ToKiIE&#10;FCmiLYK3ITtmg9nZkF01ffvOoeBx+Of/Zr7FqveNelAX68AGxqMMFHEZbM2VgZ/v4uMTVEzIFpvA&#10;ZOCXIqyWg7cF5jY8+UiPU6qUQDjmaMCl1OZax9KRxzgKLbFk19B5TDJ2lbYdPgXuGz3Jsqn2WLNc&#10;cNjSxlF5O929UI77c3HoZ208nOtYrG8793W9GPM+7NdzUIn69Fr+b2+tAflVVEQD9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CxSsIAAADaAAAADwAAAAAAAAAAAAAA&#10;AAChAgAAZHJzL2Rvd25yZXYueG1sUEsFBgAAAAAEAAQA+QAAAJADAAAAAA==&#10;" strokecolor="#a39892"/>
                        <v:line id="Straight Connector 9" o:spid="_x0000_s1032" style="position:absolute;visibility:visible;mso-wrap-style:square" from="24251,1789" to="24251,3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wU0cIAAADaAAAADwAAAGRycy9kb3ducmV2LnhtbESPT4vCMBTE7wt+h/CEva2pHkSraRGh&#10;4CKL+AfB26N5NsXmpTRZ7X77jSB4HGbmN8wy720j7tT52rGC8SgBQVw6XXOl4HQsvmYgfEDW2Dgm&#10;BX/kIc8GH0tMtXvwnu6HUIkIYZ+iAhNCm0rpS0MW/ci1xNG7us5iiLKrpO7wEeG2kZMkmUqLNccF&#10;gy2tDZW3w6+NlP32XOz6eet359oXq9u3+blelPoc9qsFiEB9eIdf7Y1WMIfnlXgDZ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wU0cIAAADaAAAADwAAAAAAAAAAAAAA&#10;AAChAgAAZHJzL2Rvd25yZXYueG1sUEsFBgAAAAAEAAQA+QAAAJADAAAAAA==&#10;" strokecolor="#a39892"/>
                      </v:group>
                    </v:group>
                  </w:pict>
                </mc:Fallback>
              </mc:AlternateContent>
            </w:r>
            <w:r>
              <w:t>Jane Anderson</w:t>
            </w:r>
          </w:p>
          <w:p w:rsidR="00F15279" w:rsidRDefault="00F15279" w:rsidP="009566D7"/>
        </w:tc>
      </w:tr>
      <w:tr w:rsidR="009566D7" w:rsidTr="00F15279">
        <w:trPr>
          <w:trHeight w:val="243"/>
        </w:trPr>
        <w:tc>
          <w:tcPr>
            <w:tcW w:w="3974" w:type="dxa"/>
          </w:tcPr>
          <w:p w:rsidR="009566D7" w:rsidRDefault="009566D7" w:rsidP="00F15279">
            <w:pPr>
              <w:spacing w:after="0"/>
            </w:pPr>
          </w:p>
        </w:tc>
        <w:tc>
          <w:tcPr>
            <w:tcW w:w="3974" w:type="dxa"/>
          </w:tcPr>
          <w:p w:rsidR="009566D7" w:rsidRDefault="009566D7" w:rsidP="00F15279">
            <w:pPr>
              <w:spacing w:after="0"/>
            </w:pPr>
          </w:p>
        </w:tc>
      </w:tr>
      <w:tr w:rsidR="00F15279" w:rsidTr="008D48CC">
        <w:tc>
          <w:tcPr>
            <w:tcW w:w="7948" w:type="dxa"/>
            <w:gridSpan w:val="2"/>
          </w:tcPr>
          <w:p w:rsidR="00F15279" w:rsidRDefault="00F15279" w:rsidP="00F15279">
            <w:pPr>
              <w:pStyle w:val="Heading3"/>
              <w:jc w:val="center"/>
            </w:pPr>
            <w:r>
              <w:t>National Registrar</w:t>
            </w:r>
            <w:r w:rsidR="0018474C">
              <w:fldChar w:fldCharType="begin"/>
            </w:r>
            <w:r w:rsidR="0018474C">
              <w:instrText xml:space="preserve"> XE "</w:instrText>
            </w:r>
            <w:r w:rsidR="0018474C" w:rsidRPr="003924C2">
              <w:instrText>National Registrar</w:instrText>
            </w:r>
            <w:r w:rsidR="0018474C">
              <w:instrText xml:space="preserve">" </w:instrText>
            </w:r>
            <w:r w:rsidR="0018474C">
              <w:fldChar w:fldCharType="end"/>
            </w:r>
          </w:p>
          <w:p w:rsidR="00F15279" w:rsidRDefault="00F15279" w:rsidP="00F15279">
            <w:pPr>
              <w:jc w:val="center"/>
            </w:pPr>
            <w:r>
              <w:t>Katrina Harry PSM</w:t>
            </w:r>
          </w:p>
          <w:p w:rsidR="00F15279" w:rsidRDefault="00F15279" w:rsidP="00F15279">
            <w:pPr>
              <w:jc w:val="center"/>
            </w:pPr>
          </w:p>
        </w:tc>
      </w:tr>
      <w:tr w:rsidR="009566D7" w:rsidTr="00F15279">
        <w:trPr>
          <w:cantSplit/>
          <w:trHeight w:val="216"/>
        </w:trPr>
        <w:tc>
          <w:tcPr>
            <w:tcW w:w="3974" w:type="dxa"/>
          </w:tcPr>
          <w:p w:rsidR="009566D7" w:rsidRDefault="009566D7" w:rsidP="00F15279">
            <w:pPr>
              <w:spacing w:after="0"/>
            </w:pPr>
          </w:p>
        </w:tc>
        <w:tc>
          <w:tcPr>
            <w:tcW w:w="3974" w:type="dxa"/>
          </w:tcPr>
          <w:p w:rsidR="009566D7" w:rsidRDefault="009566D7" w:rsidP="00F15279">
            <w:pPr>
              <w:spacing w:after="0"/>
            </w:pPr>
          </w:p>
        </w:tc>
      </w:tr>
      <w:tr w:rsidR="009566D7" w:rsidTr="00F15279">
        <w:tc>
          <w:tcPr>
            <w:tcW w:w="3974" w:type="dxa"/>
          </w:tcPr>
          <w:p w:rsidR="00F15279" w:rsidRDefault="00F15279" w:rsidP="00F15279">
            <w:pPr>
              <w:pStyle w:val="Heading3"/>
            </w:pPr>
            <w:r>
              <w:t>National Registry</w:t>
            </w:r>
            <w:r w:rsidR="001D1DCA">
              <w:fldChar w:fldCharType="begin"/>
            </w:r>
            <w:r w:rsidR="001D1DCA">
              <w:instrText xml:space="preserve"> XE "</w:instrText>
            </w:r>
            <w:r w:rsidR="001D1DCA" w:rsidRPr="002D7689">
              <w:instrText>Registrars</w:instrText>
            </w:r>
            <w:r w:rsidR="001D1DCA">
              <w:instrText xml:space="preserve">" </w:instrText>
            </w:r>
            <w:r w:rsidR="001D1DCA">
              <w:fldChar w:fldCharType="end"/>
            </w:r>
          </w:p>
          <w:p w:rsidR="00F15279" w:rsidRDefault="00F15279" w:rsidP="00F15279">
            <w:pPr>
              <w:pStyle w:val="Heading4"/>
            </w:pPr>
            <w:r>
              <w:t>Finance &amp; Business Services Manager</w:t>
            </w:r>
          </w:p>
          <w:p w:rsidR="00F15279" w:rsidRDefault="00F15279" w:rsidP="00F15279">
            <w:r>
              <w:t>Mark Huthnance</w:t>
            </w:r>
          </w:p>
          <w:p w:rsidR="00F15279" w:rsidRDefault="00F15279" w:rsidP="00F15279">
            <w:pPr>
              <w:pStyle w:val="Heading4"/>
            </w:pPr>
            <w:r>
              <w:t>Legal &amp; Policy Officer</w:t>
            </w:r>
          </w:p>
          <w:p w:rsidR="00F15279" w:rsidRDefault="00F15279" w:rsidP="00F15279">
            <w:r>
              <w:t>Lynley Gardner</w:t>
            </w:r>
          </w:p>
          <w:p w:rsidR="00F15279" w:rsidRDefault="00F15279" w:rsidP="00F15279">
            <w:pPr>
              <w:pStyle w:val="Heading4"/>
            </w:pPr>
            <w:r>
              <w:t>Alternative Dispute Resolution Registrar</w:t>
            </w:r>
          </w:p>
          <w:p w:rsidR="00F15279" w:rsidRDefault="00F15279" w:rsidP="00F15279">
            <w:r>
              <w:t>Jane Warmoll</w:t>
            </w:r>
          </w:p>
          <w:p w:rsidR="00F15279" w:rsidRDefault="00F15279" w:rsidP="00F15279">
            <w:pPr>
              <w:pStyle w:val="Heading4"/>
            </w:pPr>
            <w:r>
              <w:t>Conference Registrar</w:t>
            </w:r>
          </w:p>
          <w:p w:rsidR="00F15279" w:rsidRDefault="00F15279" w:rsidP="00F15279">
            <w:r>
              <w:t>Paul Jones</w:t>
            </w:r>
          </w:p>
          <w:p w:rsidR="00F15279" w:rsidRDefault="00F15279" w:rsidP="00F15279">
            <w:pPr>
              <w:pStyle w:val="Heading4"/>
            </w:pPr>
            <w:r>
              <w:t>Deputy Conference Registrar</w:t>
            </w:r>
          </w:p>
          <w:p w:rsidR="00F15279" w:rsidRDefault="00F15279" w:rsidP="00F15279">
            <w:r>
              <w:t>David Leeson</w:t>
            </w:r>
          </w:p>
          <w:p w:rsidR="00F15279" w:rsidRDefault="00F15279" w:rsidP="00F15279">
            <w:pPr>
              <w:pStyle w:val="Heading4"/>
            </w:pPr>
            <w:r>
              <w:t>Alternative Dispute Resolution Support</w:t>
            </w:r>
          </w:p>
          <w:p w:rsidR="00F15279" w:rsidRDefault="00F15279" w:rsidP="00F15279">
            <w:pPr>
              <w:pStyle w:val="Heading4"/>
            </w:pPr>
            <w:r>
              <w:t>Officer</w:t>
            </w:r>
          </w:p>
          <w:p w:rsidR="00F15279" w:rsidRDefault="00F15279" w:rsidP="00F15279">
            <w:pPr>
              <w:spacing w:after="0"/>
            </w:pPr>
            <w:r>
              <w:t>Alison Kavanagh</w:t>
            </w:r>
          </w:p>
          <w:p w:rsidR="00F15279" w:rsidRDefault="00F15279" w:rsidP="00F15279">
            <w:r>
              <w:t>Rhonda Blair</w:t>
            </w:r>
          </w:p>
          <w:p w:rsidR="00F15279" w:rsidRDefault="00F15279" w:rsidP="00F15279">
            <w:pPr>
              <w:pStyle w:val="Heading4"/>
            </w:pPr>
            <w:r>
              <w:t>Finance &amp; Member Liaison Officer</w:t>
            </w:r>
          </w:p>
          <w:p w:rsidR="00F15279" w:rsidRDefault="00F15279" w:rsidP="00F15279">
            <w:r>
              <w:t>Ariane Mandavy</w:t>
            </w:r>
          </w:p>
          <w:p w:rsidR="00F15279" w:rsidRDefault="00F15279" w:rsidP="00F15279">
            <w:pPr>
              <w:pStyle w:val="Heading4"/>
            </w:pPr>
            <w:r>
              <w:t>Executive Assistant</w:t>
            </w:r>
          </w:p>
          <w:p w:rsidR="009566D7" w:rsidRDefault="00F15279" w:rsidP="009566D7">
            <w:r>
              <w:t>Glenn Katsoolis</w:t>
            </w:r>
          </w:p>
        </w:tc>
        <w:tc>
          <w:tcPr>
            <w:tcW w:w="3974" w:type="dxa"/>
          </w:tcPr>
          <w:p w:rsidR="00F15279" w:rsidRDefault="00F15279" w:rsidP="009566D7">
            <w:pPr>
              <w:pStyle w:val="Heading3"/>
            </w:pPr>
            <w:r>
              <w:t>South-East Australia Registry</w:t>
            </w:r>
          </w:p>
          <w:p w:rsidR="00F15279" w:rsidRDefault="00F15279" w:rsidP="009566D7">
            <w:pPr>
              <w:pStyle w:val="Heading4"/>
            </w:pPr>
            <w:r>
              <w:t>South-East Australia Registrar</w:t>
            </w:r>
          </w:p>
          <w:p w:rsidR="00F15279" w:rsidRDefault="00F15279" w:rsidP="009566D7">
            <w:r>
              <w:t>Louise Povolny</w:t>
            </w:r>
          </w:p>
          <w:p w:rsidR="00F15279" w:rsidRDefault="00F15279" w:rsidP="009566D7">
            <w:pPr>
              <w:pStyle w:val="Heading4"/>
            </w:pPr>
            <w:r>
              <w:t>South-East Australia Deputy Registrar</w:t>
            </w:r>
          </w:p>
          <w:p w:rsidR="00F15279" w:rsidRDefault="00F15279" w:rsidP="00F15279">
            <w:pPr>
              <w:spacing w:after="120"/>
            </w:pPr>
            <w:r>
              <w:t>Rex Nera</w:t>
            </w:r>
          </w:p>
          <w:p w:rsidR="00F15279" w:rsidRDefault="00F15279" w:rsidP="009566D7">
            <w:r>
              <w:t>7 x Client Service Officers – including 3 contractors (Sydney office)</w:t>
            </w:r>
          </w:p>
          <w:p w:rsidR="00F15279" w:rsidRDefault="00F15279" w:rsidP="009566D7">
            <w:pPr>
              <w:pStyle w:val="Heading3"/>
            </w:pPr>
            <w:r>
              <w:t>North-West &amp; SA Registry</w:t>
            </w:r>
          </w:p>
          <w:p w:rsidR="00F15279" w:rsidRDefault="00F15279" w:rsidP="009566D7">
            <w:pPr>
              <w:pStyle w:val="Heading4"/>
            </w:pPr>
            <w:r>
              <w:t>North-West &amp; SA Registrar</w:t>
            </w:r>
          </w:p>
          <w:p w:rsidR="00F15279" w:rsidRDefault="00F15279" w:rsidP="009566D7">
            <w:r>
              <w:t>Andrea Flanagan PSM</w:t>
            </w:r>
          </w:p>
          <w:p w:rsidR="00F15279" w:rsidRDefault="00F15279" w:rsidP="009566D7">
            <w:pPr>
              <w:pStyle w:val="Heading4"/>
            </w:pPr>
            <w:r>
              <w:t>North-West &amp; SA Deputy Registrar</w:t>
            </w:r>
          </w:p>
          <w:p w:rsidR="00F15279" w:rsidRDefault="00F15279" w:rsidP="00F15279">
            <w:pPr>
              <w:spacing w:after="120"/>
            </w:pPr>
            <w:r>
              <w:t>Jodi Ross</w:t>
            </w:r>
          </w:p>
          <w:p w:rsidR="00F15279" w:rsidRDefault="00F15279" w:rsidP="009566D7">
            <w:r>
              <w:t>6.4 x Client Service Officers – including 1 contractor (Brisbane office)</w:t>
            </w:r>
          </w:p>
          <w:p w:rsidR="009566D7" w:rsidRDefault="009566D7" w:rsidP="009566D7"/>
        </w:tc>
      </w:tr>
    </w:tbl>
    <w:p w:rsidR="009566D7" w:rsidRDefault="009566D7" w:rsidP="009566D7"/>
    <w:p w:rsidR="00451B82" w:rsidRDefault="00451B82" w:rsidP="009566D7">
      <w:pPr>
        <w:sectPr w:rsidR="00451B82" w:rsidSect="004401A2">
          <w:type w:val="oddPage"/>
          <w:pgSz w:w="9979" w:h="14170" w:code="243"/>
          <w:pgMar w:top="1440" w:right="850" w:bottom="1138" w:left="1411" w:header="576" w:footer="576" w:gutter="0"/>
          <w:cols w:space="708"/>
          <w:docGrid w:linePitch="360"/>
        </w:sectPr>
      </w:pPr>
    </w:p>
    <w:p w:rsidR="009566D7" w:rsidRDefault="00451B82" w:rsidP="009566D7">
      <w:r>
        <w:rPr>
          <w:noProof/>
          <w:lang w:eastAsia="en-AU"/>
        </w:rPr>
        <w:lastRenderedPageBreak/>
        <w:drawing>
          <wp:anchor distT="0" distB="0" distL="114300" distR="114300" simplePos="0" relativeHeight="251696128" behindDoc="0" locked="1" layoutInCell="0" allowOverlap="1">
            <wp:simplePos x="0" y="0"/>
            <wp:positionH relativeFrom="column">
              <wp:posOffset>-895985</wp:posOffset>
            </wp:positionH>
            <wp:positionV relativeFrom="paragraph">
              <wp:posOffset>-361315</wp:posOffset>
            </wp:positionV>
            <wp:extent cx="6336665" cy="7802245"/>
            <wp:effectExtent l="0" t="0" r="6985" b="8255"/>
            <wp:wrapTopAndBottom/>
            <wp:docPr id="20" name="Picture 20" descr="Part title image: Part 3 - Workload and Performanc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P Plus\Docs\DVA\Veterans' Review Board\Annual Report 2017-18\sourcedocs\Part title graphics_Page_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36665" cy="78022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1B82" w:rsidRDefault="00451B82" w:rsidP="00451B82">
      <w:pPr>
        <w:pStyle w:val="Heading1"/>
      </w:pPr>
      <w:bookmarkStart w:id="13" w:name="_Toc532322367"/>
      <w:r w:rsidRPr="00451B82">
        <w:rPr>
          <w:b w:val="0"/>
          <w:sz w:val="40"/>
        </w:rPr>
        <w:lastRenderedPageBreak/>
        <w:t>Part 3 –</w:t>
      </w:r>
      <w:r w:rsidRPr="00451B82">
        <w:rPr>
          <w:b w:val="0"/>
          <w:sz w:val="40"/>
        </w:rPr>
        <w:br/>
      </w:r>
      <w:r>
        <w:t>Workload and Performance Report</w:t>
      </w:r>
      <w:bookmarkEnd w:id="13"/>
    </w:p>
    <w:p w:rsidR="00451B82" w:rsidRDefault="00451B82" w:rsidP="00451B82">
      <w:r>
        <w:t>The Board contributed to the delivery of repatriation benefits to veterans and their dependants, and rehabilitation</w:t>
      </w:r>
      <w:r w:rsidR="0005789C">
        <w:fldChar w:fldCharType="begin"/>
      </w:r>
      <w:r w:rsidR="0005789C">
        <w:instrText xml:space="preserve"> XE "</w:instrText>
      </w:r>
      <w:r w:rsidR="0005789C" w:rsidRPr="002D7689">
        <w:instrText>rehabilitation</w:instrText>
      </w:r>
      <w:r w:rsidR="0005789C">
        <w:instrText xml:space="preserve">" </w:instrText>
      </w:r>
      <w:r w:rsidR="0005789C">
        <w:fldChar w:fldCharType="end"/>
      </w:r>
      <w:r>
        <w:t xml:space="preserve"> and compensation to members and former members of the Australian Defence Force (ADF) and their dependants through the provision of quality and timely reviews of decisions, completing 2780 reviews. The outcomes were favourable to applicants in 59.8 per cent of the matters decided</w:t>
      </w:r>
      <w:r w:rsidR="00660120">
        <w:fldChar w:fldCharType="begin"/>
      </w:r>
      <w:r w:rsidR="00660120">
        <w:instrText xml:space="preserve"> XE "</w:instrText>
      </w:r>
      <w:r w:rsidR="00660120" w:rsidRPr="003924C2">
        <w:instrText>matters decided</w:instrText>
      </w:r>
      <w:r w:rsidR="00660120">
        <w:instrText xml:space="preserve">" </w:instrText>
      </w:r>
      <w:r w:rsidR="00660120">
        <w:fldChar w:fldCharType="end"/>
      </w:r>
      <w:r>
        <w:t xml:space="preserve"> for these reviews.</w:t>
      </w:r>
    </w:p>
    <w:p w:rsidR="00451B82" w:rsidRDefault="00451B82" w:rsidP="00451B82">
      <w:pPr>
        <w:pStyle w:val="Heading3"/>
      </w:pPr>
      <w:r>
        <w:t>OUTCOMES STRUCTURE</w:t>
      </w:r>
    </w:p>
    <w:p w:rsidR="00451B82" w:rsidRDefault="00451B82" w:rsidP="00451B82">
      <w:r>
        <w:t>Pursuant to section 133A of the VEA, the objective of the VRB is to provide a means of review that is fair, just, economical, informal and quick, in an environment which ensures respect for the service of applicants and dignity in the conduct of proceedings. The VRB measures its performance against this objective using a number of reporting mechanisms including:</w:t>
      </w:r>
    </w:p>
    <w:p w:rsidR="00451B82" w:rsidRDefault="00451B82" w:rsidP="00451B82">
      <w:r>
        <w:t>Outcome 1: Finalise a high number of applications for review</w:t>
      </w:r>
    </w:p>
    <w:p w:rsidR="00451B82" w:rsidRDefault="00451B82" w:rsidP="00451B82">
      <w:r>
        <w:t>Outcome 2: High assurance that review decisions are correct</w:t>
      </w:r>
    </w:p>
    <w:p w:rsidR="00451B82" w:rsidRDefault="00451B82" w:rsidP="00451B82">
      <w:r>
        <w:t>Outcome 3: Complete all process stages under VRB control on a timely basis</w:t>
      </w:r>
    </w:p>
    <w:p w:rsidR="00451B82" w:rsidRDefault="00451B82" w:rsidP="00451B82">
      <w:r>
        <w:t>Outcome 4: Undertake reviews in a manner that is efficient in resource usage</w:t>
      </w:r>
    </w:p>
    <w:p w:rsidR="00451B82" w:rsidRDefault="00451B82" w:rsidP="00451B82">
      <w:r>
        <w:t>Outcome 5: Accessible and responsive to the veteran community and stakeholders</w:t>
      </w:r>
    </w:p>
    <w:p w:rsidR="00451B82" w:rsidRDefault="00451B82" w:rsidP="00451B82">
      <w:pPr>
        <w:pStyle w:val="Heading3"/>
      </w:pPr>
      <w:r>
        <w:t>OVERVIEW OF CASE LOAD</w:t>
      </w:r>
    </w:p>
    <w:p w:rsidR="00451B82" w:rsidRDefault="00451B82" w:rsidP="00451B82">
      <w:r>
        <w:t>During the course of the reporting year, the VRB received 2923 applications, finalised 2780 applications</w:t>
      </w:r>
      <w:r w:rsidR="00EC32B8">
        <w:fldChar w:fldCharType="begin"/>
      </w:r>
      <w:r w:rsidR="00EC32B8">
        <w:instrText xml:space="preserve"> XE "</w:instrText>
      </w:r>
      <w:r w:rsidR="00EC32B8" w:rsidRPr="00004B8B">
        <w:instrText>applications:finalised</w:instrText>
      </w:r>
      <w:r w:rsidR="00EC32B8">
        <w:instrText xml:space="preserve">" </w:instrText>
      </w:r>
      <w:r w:rsidR="00EC32B8">
        <w:fldChar w:fldCharType="end"/>
      </w:r>
      <w:r>
        <w:t xml:space="preserve"> and had 2480 active applications</w:t>
      </w:r>
      <w:r w:rsidR="008D2F5D">
        <w:fldChar w:fldCharType="begin"/>
      </w:r>
      <w:r w:rsidR="008D2F5D">
        <w:instrText xml:space="preserve"> XE "</w:instrText>
      </w:r>
      <w:r w:rsidR="008D2F5D" w:rsidRPr="00BF5455">
        <w:instrText>applications:outstanding</w:instrText>
      </w:r>
      <w:r w:rsidR="008D2F5D">
        <w:instrText xml:space="preserve">" </w:instrText>
      </w:r>
      <w:r w:rsidR="008D2F5D">
        <w:fldChar w:fldCharType="end"/>
      </w:r>
      <w:r>
        <w:t xml:space="preserve"> at the end of the year.</w:t>
      </w:r>
    </w:p>
    <w:p w:rsidR="00451B82" w:rsidRDefault="00451B82" w:rsidP="00451B82">
      <w:pPr>
        <w:pStyle w:val="Heading3"/>
      </w:pPr>
      <w:r>
        <w:t>APPLICATIONS LODGED</w:t>
      </w:r>
    </w:p>
    <w:p w:rsidR="00451B82" w:rsidRDefault="00451B82" w:rsidP="00451B82">
      <w:r>
        <w:t>In the reporting year, 2923 new applications were lodged. This represented an increase of 2.5 per cent. MRCA cases comprised 28.4 per cent of new cases lodged at the VRB in 2016–17; whereas they represented 22.3 per cent of the intake in the previous financial year.</w:t>
      </w:r>
    </w:p>
    <w:p w:rsidR="00451B82" w:rsidRDefault="00451B82" w:rsidP="00451B82">
      <w:r>
        <w:t>Board applications were predominately received from the major urban areas: 40.8 per cent of applications were lodged in NSW, 34.3 per cent in Queensland, 15.2 per cent in Victoria, 4.4 per cent in Western Australia and 5.3 per cent in South Australia. NSW includes ACT figures, Victoria includes Tasmania figures, and South Australia includes</w:t>
      </w:r>
      <w:r w:rsidR="00B76FD0">
        <w:t xml:space="preserve"> </w:t>
      </w:r>
      <w:r>
        <w:t>Northern Territory cases.</w:t>
      </w:r>
    </w:p>
    <w:p w:rsidR="00451B82" w:rsidRPr="0074089C" w:rsidRDefault="0074089C" w:rsidP="0074089C">
      <w:pPr>
        <w:pStyle w:val="FigureName"/>
      </w:pPr>
      <w:r w:rsidRPr="0074089C">
        <w:lastRenderedPageBreak/>
        <w:t>Graph 1.1: Applications lodged</w:t>
      </w:r>
    </w:p>
    <w:p w:rsidR="0074089C" w:rsidRDefault="0074089C" w:rsidP="0074089C">
      <w:pPr>
        <w:pStyle w:val="FigurePara"/>
      </w:pPr>
      <w:r>
        <w:rPr>
          <w:noProof/>
          <w:lang w:eastAsia="en-AU"/>
        </w:rPr>
        <w:drawing>
          <wp:inline distT="0" distB="0" distL="0" distR="0" wp14:anchorId="6D5E084D" wp14:editId="4B717493">
            <wp:extent cx="4846320" cy="2664000"/>
            <wp:effectExtent l="0" t="0" r="0" b="3175"/>
            <wp:docPr id="21" name="Picture 21" descr="Graph 1.1: Applications lod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P Plus\Docs\DVA\Veterans' Review Board\Annual Report 2017-18\sourcedocs\Graph 1.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46320" cy="2664000"/>
                    </a:xfrm>
                    <a:prstGeom prst="rect">
                      <a:avLst/>
                    </a:prstGeom>
                    <a:noFill/>
                    <a:ln>
                      <a:noFill/>
                    </a:ln>
                  </pic:spPr>
                </pic:pic>
              </a:graphicData>
            </a:graphic>
          </wp:inline>
        </w:drawing>
      </w:r>
    </w:p>
    <w:p w:rsidR="0074089C" w:rsidRDefault="0074089C" w:rsidP="0074089C">
      <w:pPr>
        <w:pStyle w:val="FigureName"/>
      </w:pPr>
      <w:r w:rsidRPr="0074089C">
        <w:t>Graph 1.2: Percentage distribution of applications lodged 2017–18</w:t>
      </w:r>
    </w:p>
    <w:p w:rsidR="0074089C" w:rsidRDefault="008D1B2A" w:rsidP="008D1B2A">
      <w:pPr>
        <w:pStyle w:val="FigurePara"/>
        <w:jc w:val="center"/>
      </w:pPr>
      <w:r>
        <w:rPr>
          <w:noProof/>
          <w:lang w:eastAsia="en-AU"/>
        </w:rPr>
        <w:drawing>
          <wp:inline distT="0" distB="0" distL="0" distR="0">
            <wp:extent cx="2931795" cy="2643505"/>
            <wp:effectExtent l="0" t="0" r="1905" b="4445"/>
            <wp:docPr id="22" name="Picture 22" descr="Graph 1.2: Percentage distribution of applications lodged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P Plus\Docs\DVA\Veterans' Review Board\Annual Report 2017-18\sourcedocs\Graph 1.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1795" cy="2643505"/>
                    </a:xfrm>
                    <a:prstGeom prst="rect">
                      <a:avLst/>
                    </a:prstGeom>
                    <a:noFill/>
                    <a:ln>
                      <a:noFill/>
                    </a:ln>
                  </pic:spPr>
                </pic:pic>
              </a:graphicData>
            </a:graphic>
          </wp:inline>
        </w:drawing>
      </w:r>
    </w:p>
    <w:p w:rsidR="008D1B2A" w:rsidRDefault="008D1B2A" w:rsidP="008D1B2A">
      <w:pPr>
        <w:pStyle w:val="Heading3"/>
      </w:pPr>
      <w:r>
        <w:lastRenderedPageBreak/>
        <w:t>OUTCOME 1:</w:t>
      </w:r>
      <w:r>
        <w:br/>
      </w:r>
      <w:bookmarkStart w:id="14" w:name="TOC_finalised"/>
      <w:r>
        <w:t>FINALISE HIGH NUMBERS OF APPLICATIONS</w:t>
      </w:r>
    </w:p>
    <w:p w:rsidR="008D1B2A" w:rsidRDefault="008D1B2A" w:rsidP="008D1B2A">
      <w:pPr>
        <w:keepNext/>
      </w:pPr>
      <w:r>
        <w:t>The VRB now has two ways in which it can finalise</w:t>
      </w:r>
      <w:r w:rsidR="00EC32B8">
        <w:fldChar w:fldCharType="begin"/>
      </w:r>
      <w:r w:rsidR="00EC32B8">
        <w:instrText xml:space="preserve"> XE "</w:instrText>
      </w:r>
      <w:r w:rsidR="00EC32B8" w:rsidRPr="00A9384F">
        <w:instrText>applications:finalised</w:instrText>
      </w:r>
      <w:r w:rsidR="00EC32B8">
        <w:instrText xml:space="preserve">" \r "TOC_finalised" </w:instrText>
      </w:r>
      <w:r w:rsidR="00EC32B8">
        <w:fldChar w:fldCharType="end"/>
      </w:r>
      <w:r>
        <w:t xml:space="preserve"> reviews of decisions:</w:t>
      </w:r>
    </w:p>
    <w:p w:rsidR="008D1B2A" w:rsidRDefault="008D1B2A" w:rsidP="008D1B2A">
      <w:pPr>
        <w:pStyle w:val="Bullet"/>
        <w:keepNext/>
      </w:pPr>
      <w:r>
        <w:t>applications can be finalised without a hearing during an ADR process, and</w:t>
      </w:r>
    </w:p>
    <w:p w:rsidR="008D1B2A" w:rsidRDefault="008D1B2A" w:rsidP="008D1B2A">
      <w:pPr>
        <w:pStyle w:val="Bullet"/>
      </w:pPr>
      <w:r>
        <w:t>applications can be finalised following a full hearing.</w:t>
      </w:r>
    </w:p>
    <w:p w:rsidR="008D1B2A" w:rsidRDefault="008D1B2A" w:rsidP="008D1B2A">
      <w:pPr>
        <w:pStyle w:val="Heading4"/>
      </w:pPr>
      <w:r>
        <w:t>Applications finalised by hearing</w:t>
      </w:r>
    </w:p>
    <w:p w:rsidR="008D1B2A" w:rsidRDefault="008D1B2A" w:rsidP="008D1B2A">
      <w:r>
        <w:t>There were 1108 applications heard in 2017–18: 709 under the VEA and 399 under the MRCA. Applications for review may be finalised by dismissal, withdrawal, by decision of the VRB following a hearing or alternative dispute resolution</w:t>
      </w:r>
      <w:r w:rsidR="00EC32B8">
        <w:fldChar w:fldCharType="begin"/>
      </w:r>
      <w:r w:rsidR="00EC32B8">
        <w:instrText xml:space="preserve"> XE "</w:instrText>
      </w:r>
      <w:r w:rsidR="00EC32B8" w:rsidRPr="003924C2">
        <w:instrText>alternative dispute resolution</w:instrText>
      </w:r>
      <w:r w:rsidR="00EC32B8">
        <w:instrText xml:space="preserve">" </w:instrText>
      </w:r>
      <w:r w:rsidR="00EC32B8">
        <w:fldChar w:fldCharType="end"/>
      </w:r>
      <w:r>
        <w:t xml:space="preserve"> process.</w:t>
      </w:r>
    </w:p>
    <w:p w:rsidR="008D1B2A" w:rsidRDefault="008D1B2A" w:rsidP="008D1B2A">
      <w:r>
        <w:t>For this reporting year the Board finalisation and lodgement figures were similar. There were 2780 applications finalised during the year: 1724 under the VEA, and 1056 under the MRCA.</w:t>
      </w:r>
    </w:p>
    <w:p w:rsidR="008D1B2A" w:rsidRDefault="008D1B2A" w:rsidP="008D1B2A">
      <w:r>
        <w:t>An application may include more than one ‘matter’ to be decided. For example, a claim for several disabilities might have been refused by the relevant Commission; each of these could be a separate matter within the same jurisdiction</w:t>
      </w:r>
      <w:r w:rsidR="00C202FD">
        <w:fldChar w:fldCharType="begin"/>
      </w:r>
      <w:r w:rsidR="00C202FD">
        <w:instrText xml:space="preserve"> XE "</w:instrText>
      </w:r>
      <w:r w:rsidR="00C202FD" w:rsidRPr="003924C2">
        <w:instrText>jurisdiction</w:instrText>
      </w:r>
      <w:r w:rsidR="00C202FD">
        <w:instrText xml:space="preserve">" </w:instrText>
      </w:r>
      <w:r w:rsidR="00C202FD">
        <w:fldChar w:fldCharType="end"/>
      </w:r>
      <w:r>
        <w:t>. Because not all matters belonging to a new application are necessarily recorded when it is registered, the numbers of matters lodged have not been reported. However, by the time of the hearing or finalisation of the application, all of its matters are recorded, thus the numbers of matters heard and finalised have been reported.</w:t>
      </w:r>
    </w:p>
    <w:p w:rsidR="008D1B2A" w:rsidRDefault="008D1B2A" w:rsidP="008D1B2A">
      <w:r>
        <w:t>There were 4725 matters finalised</w:t>
      </w:r>
      <w:r w:rsidR="00660120">
        <w:fldChar w:fldCharType="begin"/>
      </w:r>
      <w:r w:rsidR="00660120">
        <w:instrText xml:space="preserve"> XE "</w:instrText>
      </w:r>
      <w:r w:rsidR="00660120" w:rsidRPr="003924C2">
        <w:instrText>matters decided</w:instrText>
      </w:r>
      <w:r w:rsidR="00660120">
        <w:instrText xml:space="preserve">" </w:instrText>
      </w:r>
      <w:r w:rsidR="00660120">
        <w:fldChar w:fldCharType="end"/>
      </w:r>
      <w:r>
        <w:t xml:space="preserve"> during the year: 2604 under the VEA and 2121 under the MRCA. Also there were 2540 matters heard in the same period: 1463 under the VEA and 1077 under the MRCA. The reduction in the number of a matters heard was due to the success of the ADR Program in reducing the number of applications that had to be the subject of a Board hearing prior to finalisation.</w:t>
      </w:r>
    </w:p>
    <w:p w:rsidR="0074089C" w:rsidRDefault="008D1B2A" w:rsidP="008D1B2A">
      <w:pPr>
        <w:pStyle w:val="FigureName"/>
      </w:pPr>
      <w:r>
        <w:t>Graph 1.3: Applications Finalised</w:t>
      </w:r>
    </w:p>
    <w:p w:rsidR="0074089C" w:rsidRDefault="00FF342B" w:rsidP="00FF342B">
      <w:pPr>
        <w:pStyle w:val="FigurePara"/>
      </w:pPr>
      <w:r>
        <w:br/>
      </w:r>
      <w:r>
        <w:rPr>
          <w:noProof/>
          <w:lang w:eastAsia="en-AU"/>
        </w:rPr>
        <w:drawing>
          <wp:inline distT="0" distB="0" distL="0" distR="0" wp14:anchorId="1FE14F5C" wp14:editId="21AE4D7F">
            <wp:extent cx="4846320" cy="2319853"/>
            <wp:effectExtent l="0" t="0" r="0" b="4445"/>
            <wp:docPr id="23" name="Picture 23" descr="For this reporting year 41.1% of the applications heard were in Queensland, 24.8% in New South Wales, 16% in Victoria, 9.4% in Western Australia and 8.7% in South Australia. Furthermore, 42.4% of applications finalised for Queensland applicants were finalised by hearing, 26.3% for New South Wales applicants, 12.6% for Victorian applicants, 10% for Western Australian applicants, and 8.7% of applications finalised for South Australian applicants were finalised by h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P Plus\Docs\DVA\Veterans' Review Board\Annual Report 2017-18\sourcedocs\Graph 1.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46320" cy="2319853"/>
                    </a:xfrm>
                    <a:prstGeom prst="rect">
                      <a:avLst/>
                    </a:prstGeom>
                    <a:noFill/>
                    <a:ln>
                      <a:noFill/>
                    </a:ln>
                  </pic:spPr>
                </pic:pic>
              </a:graphicData>
            </a:graphic>
          </wp:inline>
        </w:drawing>
      </w:r>
    </w:p>
    <w:p w:rsidR="008D1B2A" w:rsidRDefault="00FF342B" w:rsidP="00FF342B">
      <w:pPr>
        <w:pStyle w:val="FigureName"/>
      </w:pPr>
      <w:r w:rsidRPr="00FF342B">
        <w:lastRenderedPageBreak/>
        <w:t>Graph 1.4: Percentage distribution of applications finalised 2017–18</w:t>
      </w:r>
    </w:p>
    <w:p w:rsidR="00FF342B" w:rsidRDefault="00FF342B" w:rsidP="00FF342B">
      <w:pPr>
        <w:pStyle w:val="FigurePara"/>
        <w:jc w:val="center"/>
      </w:pPr>
      <w:r>
        <w:rPr>
          <w:noProof/>
          <w:lang w:eastAsia="en-AU"/>
        </w:rPr>
        <w:drawing>
          <wp:inline distT="0" distB="0" distL="0" distR="0" wp14:anchorId="36DFC925" wp14:editId="42345946">
            <wp:extent cx="2643505" cy="2773045"/>
            <wp:effectExtent l="0" t="0" r="4445" b="0"/>
            <wp:docPr id="24" name="Picture 24" descr="Graph 1.4: Percentage distribution of applications finalised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P Plus\Docs\DVA\Veterans' Review Board\Annual Report 2017-18\sourcedocs\Graph 1.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3505" cy="2773045"/>
                    </a:xfrm>
                    <a:prstGeom prst="rect">
                      <a:avLst/>
                    </a:prstGeom>
                    <a:noFill/>
                    <a:ln>
                      <a:noFill/>
                    </a:ln>
                  </pic:spPr>
                </pic:pic>
              </a:graphicData>
            </a:graphic>
          </wp:inline>
        </w:drawing>
      </w:r>
    </w:p>
    <w:p w:rsidR="00FF342B" w:rsidRDefault="00FF342B" w:rsidP="00FF342B">
      <w:pPr>
        <w:pStyle w:val="FigureName"/>
      </w:pPr>
      <w:r w:rsidRPr="00FF342B">
        <w:t>Graph 1.5: Applications finalised by hearing</w:t>
      </w:r>
    </w:p>
    <w:p w:rsidR="00FF342B" w:rsidRDefault="00FF342B" w:rsidP="00FF342B">
      <w:pPr>
        <w:pStyle w:val="FigurePara"/>
      </w:pPr>
      <w:r>
        <w:br/>
      </w:r>
      <w:r>
        <w:rPr>
          <w:noProof/>
          <w:lang w:eastAsia="en-AU"/>
        </w:rPr>
        <w:drawing>
          <wp:inline distT="0" distB="0" distL="0" distR="0" wp14:anchorId="6D519B2F" wp14:editId="6EBB4239">
            <wp:extent cx="4846320" cy="2604968"/>
            <wp:effectExtent l="0" t="0" r="0" b="5080"/>
            <wp:docPr id="25" name="Picture 25" descr="Graph 1.5: Applications finalised by h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P Plus\Docs\DVA\Veterans' Review Board\Annual Report 2017-18\sourcedocs\Graph 1.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46320" cy="2604968"/>
                    </a:xfrm>
                    <a:prstGeom prst="rect">
                      <a:avLst/>
                    </a:prstGeom>
                    <a:noFill/>
                    <a:ln>
                      <a:noFill/>
                    </a:ln>
                  </pic:spPr>
                </pic:pic>
              </a:graphicData>
            </a:graphic>
          </wp:inline>
        </w:drawing>
      </w:r>
    </w:p>
    <w:p w:rsidR="00FF342B" w:rsidRDefault="0029306C" w:rsidP="0029306C">
      <w:pPr>
        <w:pStyle w:val="FigureName"/>
      </w:pPr>
      <w:r w:rsidRPr="0029306C">
        <w:lastRenderedPageBreak/>
        <w:t>Graph 1.6: Percentage distribution of applications finalised by hearing 2017–18</w:t>
      </w:r>
    </w:p>
    <w:p w:rsidR="0029306C" w:rsidRDefault="0029306C" w:rsidP="0029306C">
      <w:pPr>
        <w:pStyle w:val="FigurePara"/>
        <w:jc w:val="center"/>
      </w:pPr>
      <w:r>
        <w:rPr>
          <w:noProof/>
          <w:lang w:eastAsia="en-AU"/>
        </w:rPr>
        <w:drawing>
          <wp:inline distT="0" distB="0" distL="0" distR="0" wp14:anchorId="20E870FB" wp14:editId="104312CC">
            <wp:extent cx="2822575" cy="2425065"/>
            <wp:effectExtent l="0" t="0" r="0" b="0"/>
            <wp:docPr id="26" name="Picture 26" descr="Graph 1.6: Percentage distribution of applications finalised by hearing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P Plus\Docs\DVA\Veterans' Review Board\Annual Report 2017-18\sourcedocs\Graph 1.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2575" cy="2425065"/>
                    </a:xfrm>
                    <a:prstGeom prst="rect">
                      <a:avLst/>
                    </a:prstGeom>
                    <a:noFill/>
                    <a:ln>
                      <a:noFill/>
                    </a:ln>
                  </pic:spPr>
                </pic:pic>
              </a:graphicData>
            </a:graphic>
          </wp:inline>
        </w:drawing>
      </w:r>
    </w:p>
    <w:p w:rsidR="0029306C" w:rsidRDefault="0029306C" w:rsidP="0029306C">
      <w:pPr>
        <w:pStyle w:val="FigureName"/>
      </w:pPr>
      <w:r>
        <w:t>Graph 1.7: Applications heard</w:t>
      </w:r>
    </w:p>
    <w:p w:rsidR="0029306C" w:rsidRDefault="0029306C" w:rsidP="00FF342B">
      <w:pPr>
        <w:pStyle w:val="FigurePara"/>
      </w:pPr>
      <w:r>
        <w:br/>
      </w:r>
      <w:r>
        <w:rPr>
          <w:noProof/>
          <w:lang w:eastAsia="en-AU"/>
        </w:rPr>
        <w:drawing>
          <wp:inline distT="0" distB="0" distL="0" distR="0" wp14:anchorId="7834C5C4" wp14:editId="1B93F01C">
            <wp:extent cx="4846320" cy="2486903"/>
            <wp:effectExtent l="0" t="0" r="0" b="8890"/>
            <wp:docPr id="27" name="Picture 27" descr="Graph 1.7: Applications he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P Plus\Docs\DVA\Veterans' Review Board\Annual Report 2017-18\sourcedocs\Graph 1.7.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46320" cy="2486903"/>
                    </a:xfrm>
                    <a:prstGeom prst="rect">
                      <a:avLst/>
                    </a:prstGeom>
                    <a:noFill/>
                    <a:ln>
                      <a:noFill/>
                    </a:ln>
                  </pic:spPr>
                </pic:pic>
              </a:graphicData>
            </a:graphic>
          </wp:inline>
        </w:drawing>
      </w:r>
    </w:p>
    <w:p w:rsidR="00FF342B" w:rsidRDefault="003C1F1B" w:rsidP="003C1F1B">
      <w:pPr>
        <w:pStyle w:val="FigureName"/>
      </w:pPr>
      <w:r w:rsidRPr="003C1F1B">
        <w:lastRenderedPageBreak/>
        <w:t>Graph 1.8: Percentage distribution of applications heard 2017–18</w:t>
      </w:r>
    </w:p>
    <w:p w:rsidR="003C1F1B" w:rsidRDefault="003C1F1B" w:rsidP="003C1F1B">
      <w:pPr>
        <w:pStyle w:val="FigurePara"/>
        <w:jc w:val="center"/>
      </w:pPr>
      <w:r>
        <w:rPr>
          <w:noProof/>
          <w:lang w:eastAsia="en-AU"/>
        </w:rPr>
        <w:drawing>
          <wp:inline distT="0" distB="0" distL="0" distR="0" wp14:anchorId="156F180C" wp14:editId="61FA4ED6">
            <wp:extent cx="2534285" cy="2375535"/>
            <wp:effectExtent l="0" t="0" r="0" b="5715"/>
            <wp:docPr id="28" name="Picture 28" descr="Graph 1.8: Percentage distribution of applications heard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P Plus\Docs\DVA\Veterans' Review Board\Annual Report 2017-18\sourcedocs\Graph 1.8.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4285" cy="2375535"/>
                    </a:xfrm>
                    <a:prstGeom prst="rect">
                      <a:avLst/>
                    </a:prstGeom>
                    <a:noFill/>
                    <a:ln>
                      <a:noFill/>
                    </a:ln>
                  </pic:spPr>
                </pic:pic>
              </a:graphicData>
            </a:graphic>
          </wp:inline>
        </w:drawing>
      </w:r>
    </w:p>
    <w:p w:rsidR="003C1F1B" w:rsidRDefault="003C1F1B" w:rsidP="003C1F1B">
      <w:pPr>
        <w:pStyle w:val="Heading4"/>
      </w:pPr>
      <w:r>
        <w:t>Applications finalised without a hearing</w:t>
      </w:r>
    </w:p>
    <w:p w:rsidR="003C1F1B" w:rsidRDefault="003C1F1B" w:rsidP="003C1F1B">
      <w:r>
        <w:t>Alternative dispute resolution</w:t>
      </w:r>
      <w:r w:rsidR="00EC32B8">
        <w:fldChar w:fldCharType="begin"/>
      </w:r>
      <w:r w:rsidR="00EC32B8">
        <w:instrText xml:space="preserve"> XE "</w:instrText>
      </w:r>
      <w:r w:rsidR="00EC32B8" w:rsidRPr="003924C2">
        <w:instrText>alternative dispute resolution</w:instrText>
      </w:r>
      <w:r w:rsidR="00EC32B8">
        <w:instrText xml:space="preserve">" </w:instrText>
      </w:r>
      <w:r w:rsidR="00EC32B8">
        <w:fldChar w:fldCharType="end"/>
      </w:r>
      <w:r>
        <w:t xml:space="preserve"> (ADR) describes a range of ways the VRB can help parties resolve their disputes without the need for a full hearing – for example, outreaches, conferences and on papers reviews including case appraisals</w:t>
      </w:r>
      <w:r w:rsidR="008D2F5D">
        <w:fldChar w:fldCharType="begin"/>
      </w:r>
      <w:r w:rsidR="008D2F5D">
        <w:instrText xml:space="preserve"> XE "</w:instrText>
      </w:r>
      <w:r w:rsidR="008D2F5D" w:rsidRPr="003924C2">
        <w:instrText>case appraisal</w:instrText>
      </w:r>
      <w:r w:rsidR="008D2F5D">
        <w:instrText xml:space="preserve">" </w:instrText>
      </w:r>
      <w:r w:rsidR="008D2F5D">
        <w:fldChar w:fldCharType="end"/>
      </w:r>
      <w:r>
        <w:t xml:space="preserve"> and neutral evaluations.</w:t>
      </w:r>
    </w:p>
    <w:p w:rsidR="003C1F1B" w:rsidRDefault="003C1F1B" w:rsidP="003C1F1B">
      <w:r>
        <w:t>ADR is a flexible alternative to traditional VRB hearings and can be less stressful for the people</w:t>
      </w:r>
      <w:r w:rsidR="005150F2">
        <w:t xml:space="preserve"> </w:t>
      </w:r>
      <w:r>
        <w:t>involved, giving parties greater control over the outcome of their disputes. Even when ADR does not</w:t>
      </w:r>
      <w:r w:rsidR="005150F2">
        <w:t xml:space="preserve"> </w:t>
      </w:r>
      <w:r>
        <w:t>resolve a case, it can narrow the issues so that the full hearing takes less time.</w:t>
      </w:r>
    </w:p>
    <w:p w:rsidR="003C1F1B" w:rsidRDefault="003C1F1B" w:rsidP="003C1F1B">
      <w:r>
        <w:t>During 2017–18, 898 applications, or 82.6% of cases referred to an ADR process were finalised</w:t>
      </w:r>
      <w:r w:rsidR="005150F2">
        <w:t xml:space="preserve"> </w:t>
      </w:r>
      <w:r>
        <w:t>without the need for a hearing. This represents an improvement over the results achieved in 2016–17 when 810 applications, or 64.1% of cases referred to an ADR process were finalised without a</w:t>
      </w:r>
      <w:r w:rsidR="005150F2">
        <w:t xml:space="preserve"> </w:t>
      </w:r>
      <w:r>
        <w:t>Board hearing.</w:t>
      </w:r>
    </w:p>
    <w:p w:rsidR="003C1F1B" w:rsidRDefault="003C1F1B" w:rsidP="003C1F1B">
      <w:pPr>
        <w:pStyle w:val="Heading3"/>
      </w:pPr>
      <w:r>
        <w:t>CURRENT APPLICATIONS</w:t>
      </w:r>
    </w:p>
    <w:p w:rsidR="0029306C" w:rsidRDefault="003C1F1B" w:rsidP="003C1F1B">
      <w:bookmarkStart w:id="15" w:name="TOC_outstanding"/>
      <w:r>
        <w:t>The number of applications current at 30 June 2018 was higher than the end of the previous</w:t>
      </w:r>
      <w:r w:rsidR="005150F2">
        <w:t xml:space="preserve"> </w:t>
      </w:r>
      <w:r>
        <w:t>reporting period by 3.4 per cent. At year’s end, 2480 applications were outstanding</w:t>
      </w:r>
      <w:r w:rsidR="00EC32B8">
        <w:fldChar w:fldCharType="begin"/>
      </w:r>
      <w:r w:rsidR="00EC32B8">
        <w:instrText xml:space="preserve"> XE "</w:instrText>
      </w:r>
      <w:r w:rsidR="00EC32B8" w:rsidRPr="00D75014">
        <w:instrText>applications:outstanding</w:instrText>
      </w:r>
      <w:r w:rsidR="00EC32B8">
        <w:instrText xml:space="preserve">" \r "TOC_outstanding" </w:instrText>
      </w:r>
      <w:r w:rsidR="00EC32B8">
        <w:fldChar w:fldCharType="end"/>
      </w:r>
      <w:r>
        <w:t>: 1457 under</w:t>
      </w:r>
      <w:r w:rsidR="005150F2">
        <w:t xml:space="preserve"> </w:t>
      </w:r>
      <w:r>
        <w:t>the VEA and 1023 under the MRCA.</w:t>
      </w:r>
    </w:p>
    <w:p w:rsidR="005150F2" w:rsidRDefault="00450C2F" w:rsidP="00450C2F">
      <w:pPr>
        <w:pStyle w:val="FigureName"/>
      </w:pPr>
      <w:r w:rsidRPr="00450C2F">
        <w:lastRenderedPageBreak/>
        <w:t>Graph 1.9: Applications outstanding 30 June 2018</w:t>
      </w:r>
    </w:p>
    <w:p w:rsidR="00450C2F" w:rsidRDefault="00450C2F" w:rsidP="00450C2F">
      <w:pPr>
        <w:pStyle w:val="FigurePara"/>
      </w:pPr>
      <w:r>
        <w:br/>
      </w:r>
      <w:r>
        <w:rPr>
          <w:noProof/>
          <w:lang w:eastAsia="en-AU"/>
        </w:rPr>
        <w:drawing>
          <wp:inline distT="0" distB="0" distL="0" distR="0" wp14:anchorId="5AAF56B6" wp14:editId="139E5E55">
            <wp:extent cx="4846320" cy="2516419"/>
            <wp:effectExtent l="0" t="0" r="0" b="0"/>
            <wp:docPr id="29" name="Picture 29" descr="Of the applications outstanding 41.6% were for New South Wales applicants, 27.6% were for Queensland applicants, 18.9% for Victorian applicants, 6.1% for South Australian applicants and 5.7% were for Western Australian applic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P Plus\Docs\DVA\Veterans' Review Board\Annual Report 2017-18\sourcedocs\Graph 1.9.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46320" cy="2516419"/>
                    </a:xfrm>
                    <a:prstGeom prst="rect">
                      <a:avLst/>
                    </a:prstGeom>
                    <a:noFill/>
                    <a:ln>
                      <a:noFill/>
                    </a:ln>
                  </pic:spPr>
                </pic:pic>
              </a:graphicData>
            </a:graphic>
          </wp:inline>
        </w:drawing>
      </w:r>
    </w:p>
    <w:p w:rsidR="00450C2F" w:rsidRDefault="00450C2F" w:rsidP="00450C2F">
      <w:pPr>
        <w:pStyle w:val="FigureName"/>
      </w:pPr>
      <w:r w:rsidRPr="00450C2F">
        <w:t>Graph 1.10: Percentage distribution of applications outstanding 30 June 2018</w:t>
      </w:r>
    </w:p>
    <w:p w:rsidR="00450C2F" w:rsidRDefault="00450C2F" w:rsidP="003C1F1B">
      <w:pPr>
        <w:pStyle w:val="FigurePara"/>
        <w:jc w:val="center"/>
      </w:pPr>
      <w:r>
        <w:rPr>
          <w:noProof/>
          <w:lang w:eastAsia="en-AU"/>
        </w:rPr>
        <w:drawing>
          <wp:inline distT="0" distB="0" distL="0" distR="0" wp14:anchorId="3D95B108" wp14:editId="32B544B1">
            <wp:extent cx="2892425" cy="2862580"/>
            <wp:effectExtent l="0" t="0" r="3175" b="0"/>
            <wp:docPr id="30" name="Picture 30" descr="Graph 1.10: Percentage distribution of applications outstanding 30 Jun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P Plus\Docs\DVA\Veterans' Review Board\Annual Report 2017-18\sourcedocs\Graph 1.10.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2425" cy="2862580"/>
                    </a:xfrm>
                    <a:prstGeom prst="rect">
                      <a:avLst/>
                    </a:prstGeom>
                    <a:noFill/>
                    <a:ln>
                      <a:noFill/>
                    </a:ln>
                  </pic:spPr>
                </pic:pic>
              </a:graphicData>
            </a:graphic>
          </wp:inline>
        </w:drawing>
      </w:r>
    </w:p>
    <w:p w:rsidR="00450C2F" w:rsidRDefault="00450C2F" w:rsidP="004F6739">
      <w:pPr>
        <w:keepNext/>
      </w:pPr>
      <w:r>
        <w:lastRenderedPageBreak/>
        <w:t>Table 1 below provides more details on the current applications in the reporting year.</w:t>
      </w:r>
    </w:p>
    <w:tbl>
      <w:tblPr>
        <w:tblStyle w:val="TableGrid"/>
        <w:tblW w:w="0" w:type="auto"/>
        <w:tblBorders>
          <w:top w:val="single" w:sz="4" w:space="0" w:color="A39892"/>
          <w:left w:val="single" w:sz="4" w:space="0" w:color="A39892"/>
          <w:bottom w:val="single" w:sz="4" w:space="0" w:color="A39892"/>
          <w:right w:val="single" w:sz="4" w:space="0" w:color="A39892"/>
          <w:insideH w:val="single" w:sz="4" w:space="0" w:color="A39892"/>
          <w:insideV w:val="single" w:sz="4" w:space="0" w:color="A39892"/>
        </w:tblBorders>
        <w:tblLayout w:type="fixed"/>
        <w:tblLook w:val="04A0" w:firstRow="1" w:lastRow="0" w:firstColumn="1" w:lastColumn="0" w:noHBand="0" w:noVBand="1"/>
      </w:tblPr>
      <w:tblGrid>
        <w:gridCol w:w="2088"/>
        <w:gridCol w:w="990"/>
        <w:gridCol w:w="809"/>
        <w:gridCol w:w="809"/>
        <w:gridCol w:w="810"/>
        <w:gridCol w:w="809"/>
        <w:gridCol w:w="809"/>
        <w:gridCol w:w="810"/>
      </w:tblGrid>
      <w:tr w:rsidR="00450C2F" w:rsidRPr="00450C2F" w:rsidTr="004F6739">
        <w:tc>
          <w:tcPr>
            <w:tcW w:w="7934" w:type="dxa"/>
            <w:gridSpan w:val="8"/>
            <w:tcBorders>
              <w:bottom w:val="single" w:sz="4" w:space="0" w:color="A39892"/>
            </w:tcBorders>
            <w:shd w:val="clear" w:color="auto" w:fill="A39892"/>
          </w:tcPr>
          <w:p w:rsidR="00450C2F" w:rsidRPr="004F6739" w:rsidRDefault="00450C2F" w:rsidP="004F6739">
            <w:pPr>
              <w:pStyle w:val="TableName"/>
            </w:pPr>
            <w:r w:rsidRPr="004F6739">
              <w:t>Table 1: Applications lodged, finalised, heard and outstanding</w:t>
            </w:r>
          </w:p>
        </w:tc>
      </w:tr>
      <w:tr w:rsidR="00450C2F" w:rsidRPr="00450C2F" w:rsidTr="004F6739">
        <w:tc>
          <w:tcPr>
            <w:tcW w:w="2088" w:type="dxa"/>
            <w:tcBorders>
              <w:bottom w:val="single" w:sz="4" w:space="0" w:color="A39892"/>
            </w:tcBorders>
            <w:shd w:val="clear" w:color="auto" w:fill="C6BDB6"/>
          </w:tcPr>
          <w:p w:rsidR="00450C2F" w:rsidRPr="00450C2F" w:rsidRDefault="00450C2F" w:rsidP="008D48CC">
            <w:pPr>
              <w:pStyle w:val="TableText"/>
            </w:pPr>
          </w:p>
        </w:tc>
        <w:tc>
          <w:tcPr>
            <w:tcW w:w="990" w:type="dxa"/>
            <w:shd w:val="clear" w:color="auto" w:fill="C6BDB6"/>
          </w:tcPr>
          <w:p w:rsidR="00450C2F" w:rsidRPr="00450C2F" w:rsidRDefault="00450C2F" w:rsidP="008D48CC">
            <w:pPr>
              <w:pStyle w:val="TableText"/>
            </w:pPr>
            <w:r w:rsidRPr="00450C2F">
              <w:t>Year</w:t>
            </w:r>
          </w:p>
        </w:tc>
        <w:tc>
          <w:tcPr>
            <w:tcW w:w="809" w:type="dxa"/>
            <w:shd w:val="clear" w:color="auto" w:fill="C6BDB6"/>
          </w:tcPr>
          <w:p w:rsidR="00450C2F" w:rsidRPr="00450C2F" w:rsidRDefault="00450C2F" w:rsidP="008D48CC">
            <w:pPr>
              <w:pStyle w:val="TableText"/>
            </w:pPr>
            <w:r w:rsidRPr="00450C2F">
              <w:t>NSW</w:t>
            </w:r>
          </w:p>
        </w:tc>
        <w:tc>
          <w:tcPr>
            <w:tcW w:w="809" w:type="dxa"/>
            <w:shd w:val="clear" w:color="auto" w:fill="C6BDB6"/>
          </w:tcPr>
          <w:p w:rsidR="00450C2F" w:rsidRPr="00450C2F" w:rsidRDefault="00450C2F" w:rsidP="008D48CC">
            <w:pPr>
              <w:pStyle w:val="TableText"/>
            </w:pPr>
            <w:r w:rsidRPr="00450C2F">
              <w:t>VIC</w:t>
            </w:r>
          </w:p>
        </w:tc>
        <w:tc>
          <w:tcPr>
            <w:tcW w:w="810" w:type="dxa"/>
            <w:shd w:val="clear" w:color="auto" w:fill="C6BDB6"/>
          </w:tcPr>
          <w:p w:rsidR="00450C2F" w:rsidRPr="00450C2F" w:rsidRDefault="00450C2F" w:rsidP="008D48CC">
            <w:pPr>
              <w:pStyle w:val="TableText"/>
            </w:pPr>
            <w:r w:rsidRPr="00450C2F">
              <w:t>QLD</w:t>
            </w:r>
          </w:p>
        </w:tc>
        <w:tc>
          <w:tcPr>
            <w:tcW w:w="809" w:type="dxa"/>
            <w:shd w:val="clear" w:color="auto" w:fill="C6BDB6"/>
          </w:tcPr>
          <w:p w:rsidR="00450C2F" w:rsidRPr="00450C2F" w:rsidRDefault="00450C2F" w:rsidP="008D48CC">
            <w:pPr>
              <w:pStyle w:val="TableText"/>
            </w:pPr>
            <w:r w:rsidRPr="00450C2F">
              <w:t>SA</w:t>
            </w:r>
          </w:p>
        </w:tc>
        <w:tc>
          <w:tcPr>
            <w:tcW w:w="809" w:type="dxa"/>
            <w:shd w:val="clear" w:color="auto" w:fill="C6BDB6"/>
          </w:tcPr>
          <w:p w:rsidR="00450C2F" w:rsidRPr="00450C2F" w:rsidRDefault="00450C2F" w:rsidP="008D48CC">
            <w:pPr>
              <w:pStyle w:val="TableText"/>
            </w:pPr>
            <w:r w:rsidRPr="00450C2F">
              <w:t>WA</w:t>
            </w:r>
          </w:p>
        </w:tc>
        <w:tc>
          <w:tcPr>
            <w:tcW w:w="810" w:type="dxa"/>
            <w:shd w:val="clear" w:color="auto" w:fill="C6BDB6"/>
          </w:tcPr>
          <w:p w:rsidR="00450C2F" w:rsidRPr="00450C2F" w:rsidRDefault="00450C2F" w:rsidP="008D48CC">
            <w:pPr>
              <w:pStyle w:val="TableText"/>
            </w:pPr>
            <w:r w:rsidRPr="00450C2F">
              <w:t>AUST</w:t>
            </w:r>
          </w:p>
        </w:tc>
      </w:tr>
      <w:tr w:rsidR="00450C2F" w:rsidRPr="00450C2F" w:rsidTr="00450C2F">
        <w:tc>
          <w:tcPr>
            <w:tcW w:w="2088" w:type="dxa"/>
            <w:tcBorders>
              <w:bottom w:val="nil"/>
            </w:tcBorders>
          </w:tcPr>
          <w:p w:rsidR="00450C2F" w:rsidRPr="00450C2F" w:rsidRDefault="00450C2F" w:rsidP="008D48CC">
            <w:pPr>
              <w:pStyle w:val="TableText"/>
            </w:pPr>
            <w:r w:rsidRPr="00450C2F">
              <w:t>Applications lodged</w:t>
            </w:r>
          </w:p>
        </w:tc>
        <w:tc>
          <w:tcPr>
            <w:tcW w:w="990" w:type="dxa"/>
          </w:tcPr>
          <w:p w:rsidR="00450C2F" w:rsidRPr="00450C2F" w:rsidRDefault="00450C2F" w:rsidP="008D48CC">
            <w:pPr>
              <w:pStyle w:val="TableText"/>
            </w:pPr>
            <w:r w:rsidRPr="00450C2F">
              <w:t>2017–18</w:t>
            </w:r>
          </w:p>
        </w:tc>
        <w:tc>
          <w:tcPr>
            <w:tcW w:w="809" w:type="dxa"/>
          </w:tcPr>
          <w:p w:rsidR="00450C2F" w:rsidRPr="00450C2F" w:rsidRDefault="00450C2F" w:rsidP="008D48CC">
            <w:pPr>
              <w:pStyle w:val="TableText"/>
            </w:pPr>
            <w:r w:rsidRPr="00450C2F">
              <w:t>1171</w:t>
            </w:r>
          </w:p>
        </w:tc>
        <w:tc>
          <w:tcPr>
            <w:tcW w:w="809" w:type="dxa"/>
          </w:tcPr>
          <w:p w:rsidR="00450C2F" w:rsidRPr="00450C2F" w:rsidRDefault="00450C2F" w:rsidP="008D48CC">
            <w:pPr>
              <w:pStyle w:val="TableText"/>
            </w:pPr>
            <w:r w:rsidRPr="00450C2F">
              <w:t>443</w:t>
            </w:r>
          </w:p>
        </w:tc>
        <w:tc>
          <w:tcPr>
            <w:tcW w:w="810" w:type="dxa"/>
          </w:tcPr>
          <w:p w:rsidR="00450C2F" w:rsidRPr="00450C2F" w:rsidRDefault="00450C2F" w:rsidP="008D48CC">
            <w:pPr>
              <w:pStyle w:val="TableText"/>
            </w:pPr>
            <w:r w:rsidRPr="00450C2F">
              <w:t>947</w:t>
            </w:r>
          </w:p>
        </w:tc>
        <w:tc>
          <w:tcPr>
            <w:tcW w:w="809" w:type="dxa"/>
          </w:tcPr>
          <w:p w:rsidR="00450C2F" w:rsidRPr="00450C2F" w:rsidRDefault="00450C2F" w:rsidP="008D48CC">
            <w:pPr>
              <w:pStyle w:val="TableText"/>
            </w:pPr>
            <w:r w:rsidRPr="00450C2F">
              <w:t>177</w:t>
            </w:r>
          </w:p>
        </w:tc>
        <w:tc>
          <w:tcPr>
            <w:tcW w:w="809" w:type="dxa"/>
          </w:tcPr>
          <w:p w:rsidR="00450C2F" w:rsidRPr="00450C2F" w:rsidRDefault="00450C2F" w:rsidP="008D48CC">
            <w:pPr>
              <w:pStyle w:val="TableText"/>
            </w:pPr>
            <w:r w:rsidRPr="00450C2F">
              <w:t>185</w:t>
            </w:r>
          </w:p>
        </w:tc>
        <w:tc>
          <w:tcPr>
            <w:tcW w:w="810" w:type="dxa"/>
          </w:tcPr>
          <w:p w:rsidR="00450C2F" w:rsidRPr="00450C2F" w:rsidRDefault="00450C2F" w:rsidP="008D48CC">
            <w:pPr>
              <w:pStyle w:val="TableText"/>
            </w:pPr>
            <w:r w:rsidRPr="00450C2F">
              <w:t>2923</w:t>
            </w:r>
          </w:p>
        </w:tc>
      </w:tr>
      <w:tr w:rsidR="00450C2F" w:rsidRPr="00450C2F" w:rsidTr="00450C2F">
        <w:tc>
          <w:tcPr>
            <w:tcW w:w="2088" w:type="dxa"/>
            <w:tcBorders>
              <w:top w:val="nil"/>
              <w:bottom w:val="single" w:sz="4" w:space="0" w:color="A39892"/>
            </w:tcBorders>
          </w:tcPr>
          <w:p w:rsidR="00450C2F" w:rsidRPr="00450C2F" w:rsidRDefault="00450C2F" w:rsidP="008D48CC">
            <w:pPr>
              <w:pStyle w:val="TableText"/>
            </w:pPr>
          </w:p>
        </w:tc>
        <w:tc>
          <w:tcPr>
            <w:tcW w:w="990" w:type="dxa"/>
          </w:tcPr>
          <w:p w:rsidR="00450C2F" w:rsidRPr="00450C2F" w:rsidRDefault="00450C2F" w:rsidP="008D48CC">
            <w:pPr>
              <w:pStyle w:val="TableText"/>
            </w:pPr>
            <w:r w:rsidRPr="00450C2F">
              <w:t>2016–17</w:t>
            </w:r>
          </w:p>
        </w:tc>
        <w:tc>
          <w:tcPr>
            <w:tcW w:w="809" w:type="dxa"/>
          </w:tcPr>
          <w:p w:rsidR="00450C2F" w:rsidRPr="00450C2F" w:rsidRDefault="00450C2F" w:rsidP="008D48CC">
            <w:pPr>
              <w:pStyle w:val="TableText"/>
            </w:pPr>
            <w:r w:rsidRPr="00450C2F">
              <w:t>1167</w:t>
            </w:r>
          </w:p>
        </w:tc>
        <w:tc>
          <w:tcPr>
            <w:tcW w:w="809" w:type="dxa"/>
          </w:tcPr>
          <w:p w:rsidR="00450C2F" w:rsidRPr="00450C2F" w:rsidRDefault="00450C2F" w:rsidP="008D48CC">
            <w:pPr>
              <w:pStyle w:val="TableText"/>
            </w:pPr>
            <w:r w:rsidRPr="00450C2F">
              <w:t>435</w:t>
            </w:r>
          </w:p>
        </w:tc>
        <w:tc>
          <w:tcPr>
            <w:tcW w:w="810" w:type="dxa"/>
          </w:tcPr>
          <w:p w:rsidR="00450C2F" w:rsidRPr="00450C2F" w:rsidRDefault="00450C2F" w:rsidP="008D48CC">
            <w:pPr>
              <w:pStyle w:val="TableText"/>
            </w:pPr>
            <w:r w:rsidRPr="00450C2F">
              <w:t>983</w:t>
            </w:r>
          </w:p>
        </w:tc>
        <w:tc>
          <w:tcPr>
            <w:tcW w:w="809" w:type="dxa"/>
          </w:tcPr>
          <w:p w:rsidR="00450C2F" w:rsidRPr="00450C2F" w:rsidRDefault="00450C2F" w:rsidP="008D48CC">
            <w:pPr>
              <w:pStyle w:val="TableText"/>
            </w:pPr>
            <w:r w:rsidRPr="00450C2F">
              <w:t>151</w:t>
            </w:r>
          </w:p>
        </w:tc>
        <w:tc>
          <w:tcPr>
            <w:tcW w:w="809" w:type="dxa"/>
          </w:tcPr>
          <w:p w:rsidR="00450C2F" w:rsidRPr="00450C2F" w:rsidRDefault="00450C2F" w:rsidP="008D48CC">
            <w:pPr>
              <w:pStyle w:val="TableText"/>
            </w:pPr>
            <w:r w:rsidRPr="00450C2F">
              <w:t>127</w:t>
            </w:r>
          </w:p>
        </w:tc>
        <w:tc>
          <w:tcPr>
            <w:tcW w:w="810" w:type="dxa"/>
          </w:tcPr>
          <w:p w:rsidR="00450C2F" w:rsidRPr="00450C2F" w:rsidRDefault="00450C2F" w:rsidP="008D48CC">
            <w:pPr>
              <w:pStyle w:val="TableText"/>
            </w:pPr>
            <w:r w:rsidRPr="00450C2F">
              <w:t>2863</w:t>
            </w:r>
          </w:p>
        </w:tc>
      </w:tr>
      <w:tr w:rsidR="00450C2F" w:rsidRPr="00450C2F" w:rsidTr="00450C2F">
        <w:tc>
          <w:tcPr>
            <w:tcW w:w="2088" w:type="dxa"/>
            <w:tcBorders>
              <w:bottom w:val="nil"/>
            </w:tcBorders>
          </w:tcPr>
          <w:p w:rsidR="00450C2F" w:rsidRPr="00450C2F" w:rsidRDefault="00450C2F" w:rsidP="008D48CC">
            <w:pPr>
              <w:pStyle w:val="TableText"/>
            </w:pPr>
            <w:r w:rsidRPr="00450C2F">
              <w:t>Applications finalised</w:t>
            </w:r>
          </w:p>
        </w:tc>
        <w:tc>
          <w:tcPr>
            <w:tcW w:w="990" w:type="dxa"/>
          </w:tcPr>
          <w:p w:rsidR="00450C2F" w:rsidRPr="00450C2F" w:rsidRDefault="00450C2F" w:rsidP="008D48CC">
            <w:pPr>
              <w:pStyle w:val="TableText"/>
            </w:pPr>
            <w:r w:rsidRPr="00450C2F">
              <w:t>2017–18</w:t>
            </w:r>
          </w:p>
        </w:tc>
        <w:tc>
          <w:tcPr>
            <w:tcW w:w="809" w:type="dxa"/>
          </w:tcPr>
          <w:p w:rsidR="00450C2F" w:rsidRPr="00450C2F" w:rsidRDefault="00450C2F" w:rsidP="008D48CC">
            <w:pPr>
              <w:pStyle w:val="TableText"/>
            </w:pPr>
            <w:r w:rsidRPr="00450C2F">
              <w:t>1106</w:t>
            </w:r>
          </w:p>
        </w:tc>
        <w:tc>
          <w:tcPr>
            <w:tcW w:w="809" w:type="dxa"/>
          </w:tcPr>
          <w:p w:rsidR="00450C2F" w:rsidRPr="00450C2F" w:rsidRDefault="00450C2F" w:rsidP="008D48CC">
            <w:pPr>
              <w:pStyle w:val="TableText"/>
            </w:pPr>
            <w:r w:rsidRPr="00450C2F">
              <w:t>420</w:t>
            </w:r>
          </w:p>
        </w:tc>
        <w:tc>
          <w:tcPr>
            <w:tcW w:w="810" w:type="dxa"/>
          </w:tcPr>
          <w:p w:rsidR="00450C2F" w:rsidRPr="00450C2F" w:rsidRDefault="00450C2F" w:rsidP="008D48CC">
            <w:pPr>
              <w:pStyle w:val="TableText"/>
            </w:pPr>
            <w:r w:rsidRPr="00450C2F">
              <w:t>885</w:t>
            </w:r>
          </w:p>
        </w:tc>
        <w:tc>
          <w:tcPr>
            <w:tcW w:w="809" w:type="dxa"/>
          </w:tcPr>
          <w:p w:rsidR="00450C2F" w:rsidRPr="00450C2F" w:rsidRDefault="00450C2F" w:rsidP="008D48CC">
            <w:pPr>
              <w:pStyle w:val="TableText"/>
            </w:pPr>
            <w:r w:rsidRPr="00450C2F">
              <w:t>190</w:t>
            </w:r>
          </w:p>
        </w:tc>
        <w:tc>
          <w:tcPr>
            <w:tcW w:w="809" w:type="dxa"/>
          </w:tcPr>
          <w:p w:rsidR="00450C2F" w:rsidRPr="00450C2F" w:rsidRDefault="00450C2F" w:rsidP="008D48CC">
            <w:pPr>
              <w:pStyle w:val="TableText"/>
            </w:pPr>
            <w:r w:rsidRPr="00450C2F">
              <w:t>179</w:t>
            </w:r>
          </w:p>
        </w:tc>
        <w:tc>
          <w:tcPr>
            <w:tcW w:w="810" w:type="dxa"/>
          </w:tcPr>
          <w:p w:rsidR="00450C2F" w:rsidRPr="00450C2F" w:rsidRDefault="00450C2F" w:rsidP="008D48CC">
            <w:pPr>
              <w:pStyle w:val="TableText"/>
            </w:pPr>
            <w:r w:rsidRPr="00450C2F">
              <w:t>2780</w:t>
            </w:r>
          </w:p>
        </w:tc>
      </w:tr>
      <w:tr w:rsidR="00450C2F" w:rsidRPr="00450C2F" w:rsidTr="00450C2F">
        <w:tc>
          <w:tcPr>
            <w:tcW w:w="2088" w:type="dxa"/>
            <w:tcBorders>
              <w:top w:val="nil"/>
              <w:bottom w:val="single" w:sz="4" w:space="0" w:color="A39892"/>
            </w:tcBorders>
          </w:tcPr>
          <w:p w:rsidR="00450C2F" w:rsidRPr="00450C2F" w:rsidRDefault="00450C2F" w:rsidP="008D48CC">
            <w:pPr>
              <w:pStyle w:val="TableText"/>
            </w:pPr>
          </w:p>
        </w:tc>
        <w:tc>
          <w:tcPr>
            <w:tcW w:w="990" w:type="dxa"/>
          </w:tcPr>
          <w:p w:rsidR="00450C2F" w:rsidRPr="00450C2F" w:rsidRDefault="00450C2F" w:rsidP="008D48CC">
            <w:pPr>
              <w:pStyle w:val="TableText"/>
            </w:pPr>
            <w:r w:rsidRPr="00450C2F">
              <w:t>2016–17</w:t>
            </w:r>
          </w:p>
        </w:tc>
        <w:tc>
          <w:tcPr>
            <w:tcW w:w="809" w:type="dxa"/>
          </w:tcPr>
          <w:p w:rsidR="00450C2F" w:rsidRPr="00450C2F" w:rsidRDefault="00450C2F" w:rsidP="008D48CC">
            <w:pPr>
              <w:pStyle w:val="TableText"/>
            </w:pPr>
            <w:r w:rsidRPr="00450C2F">
              <w:t>1075</w:t>
            </w:r>
          </w:p>
        </w:tc>
        <w:tc>
          <w:tcPr>
            <w:tcW w:w="809" w:type="dxa"/>
          </w:tcPr>
          <w:p w:rsidR="00450C2F" w:rsidRPr="00450C2F" w:rsidRDefault="00450C2F" w:rsidP="008D48CC">
            <w:pPr>
              <w:pStyle w:val="TableText"/>
            </w:pPr>
            <w:r w:rsidRPr="00450C2F">
              <w:t>502</w:t>
            </w:r>
          </w:p>
        </w:tc>
        <w:tc>
          <w:tcPr>
            <w:tcW w:w="810" w:type="dxa"/>
          </w:tcPr>
          <w:p w:rsidR="00450C2F" w:rsidRPr="00450C2F" w:rsidRDefault="00450C2F" w:rsidP="008D48CC">
            <w:pPr>
              <w:pStyle w:val="TableText"/>
            </w:pPr>
            <w:r w:rsidRPr="00450C2F">
              <w:t>924</w:t>
            </w:r>
          </w:p>
        </w:tc>
        <w:tc>
          <w:tcPr>
            <w:tcW w:w="809" w:type="dxa"/>
          </w:tcPr>
          <w:p w:rsidR="00450C2F" w:rsidRPr="00450C2F" w:rsidRDefault="00450C2F" w:rsidP="008D48CC">
            <w:pPr>
              <w:pStyle w:val="TableText"/>
            </w:pPr>
            <w:r w:rsidRPr="00450C2F">
              <w:t>166</w:t>
            </w:r>
          </w:p>
        </w:tc>
        <w:tc>
          <w:tcPr>
            <w:tcW w:w="809" w:type="dxa"/>
          </w:tcPr>
          <w:p w:rsidR="00450C2F" w:rsidRPr="00450C2F" w:rsidRDefault="00450C2F" w:rsidP="008D48CC">
            <w:pPr>
              <w:pStyle w:val="TableText"/>
            </w:pPr>
            <w:r w:rsidRPr="00450C2F">
              <w:t>177</w:t>
            </w:r>
          </w:p>
        </w:tc>
        <w:tc>
          <w:tcPr>
            <w:tcW w:w="810" w:type="dxa"/>
          </w:tcPr>
          <w:p w:rsidR="00450C2F" w:rsidRPr="00450C2F" w:rsidRDefault="00450C2F" w:rsidP="008D48CC">
            <w:pPr>
              <w:pStyle w:val="TableText"/>
            </w:pPr>
            <w:r w:rsidRPr="00450C2F">
              <w:t>2844</w:t>
            </w:r>
          </w:p>
        </w:tc>
      </w:tr>
      <w:tr w:rsidR="00450C2F" w:rsidRPr="00450C2F" w:rsidTr="00450C2F">
        <w:tc>
          <w:tcPr>
            <w:tcW w:w="2088" w:type="dxa"/>
            <w:tcBorders>
              <w:bottom w:val="nil"/>
            </w:tcBorders>
          </w:tcPr>
          <w:p w:rsidR="00450C2F" w:rsidRPr="00450C2F" w:rsidRDefault="00450C2F" w:rsidP="008D48CC">
            <w:pPr>
              <w:pStyle w:val="TableText"/>
            </w:pPr>
            <w:r w:rsidRPr="00450C2F">
              <w:t>Matters finalised</w:t>
            </w:r>
            <w:r w:rsidR="00660120">
              <w:fldChar w:fldCharType="begin"/>
            </w:r>
            <w:r w:rsidR="00660120">
              <w:instrText xml:space="preserve"> XE "</w:instrText>
            </w:r>
            <w:r w:rsidR="00660120" w:rsidRPr="003924C2">
              <w:instrText>matters decided</w:instrText>
            </w:r>
            <w:r w:rsidR="00660120">
              <w:instrText xml:space="preserve">" </w:instrText>
            </w:r>
            <w:r w:rsidR="00660120">
              <w:fldChar w:fldCharType="end"/>
            </w:r>
          </w:p>
        </w:tc>
        <w:tc>
          <w:tcPr>
            <w:tcW w:w="990" w:type="dxa"/>
          </w:tcPr>
          <w:p w:rsidR="00450C2F" w:rsidRPr="00450C2F" w:rsidRDefault="00450C2F" w:rsidP="008D48CC">
            <w:pPr>
              <w:pStyle w:val="TableText"/>
            </w:pPr>
            <w:r w:rsidRPr="00450C2F">
              <w:t>2017–18</w:t>
            </w:r>
          </w:p>
        </w:tc>
        <w:tc>
          <w:tcPr>
            <w:tcW w:w="809" w:type="dxa"/>
          </w:tcPr>
          <w:p w:rsidR="00450C2F" w:rsidRPr="00450C2F" w:rsidRDefault="00450C2F" w:rsidP="008D48CC">
            <w:pPr>
              <w:pStyle w:val="TableText"/>
            </w:pPr>
            <w:r w:rsidRPr="00450C2F">
              <w:t>1907</w:t>
            </w:r>
          </w:p>
        </w:tc>
        <w:tc>
          <w:tcPr>
            <w:tcW w:w="809" w:type="dxa"/>
          </w:tcPr>
          <w:p w:rsidR="00450C2F" w:rsidRPr="00450C2F" w:rsidRDefault="00450C2F" w:rsidP="008D48CC">
            <w:pPr>
              <w:pStyle w:val="TableText"/>
            </w:pPr>
            <w:r w:rsidRPr="00450C2F">
              <w:t>727</w:t>
            </w:r>
          </w:p>
        </w:tc>
        <w:tc>
          <w:tcPr>
            <w:tcW w:w="810" w:type="dxa"/>
          </w:tcPr>
          <w:p w:rsidR="00450C2F" w:rsidRPr="00450C2F" w:rsidRDefault="00450C2F" w:rsidP="008D48CC">
            <w:pPr>
              <w:pStyle w:val="TableText"/>
            </w:pPr>
            <w:r w:rsidRPr="00450C2F">
              <w:t>1457</w:t>
            </w:r>
          </w:p>
        </w:tc>
        <w:tc>
          <w:tcPr>
            <w:tcW w:w="809" w:type="dxa"/>
          </w:tcPr>
          <w:p w:rsidR="00450C2F" w:rsidRPr="00450C2F" w:rsidRDefault="00450C2F" w:rsidP="008D48CC">
            <w:pPr>
              <w:pStyle w:val="TableText"/>
            </w:pPr>
            <w:r w:rsidRPr="00450C2F">
              <w:t>333</w:t>
            </w:r>
          </w:p>
        </w:tc>
        <w:tc>
          <w:tcPr>
            <w:tcW w:w="809" w:type="dxa"/>
          </w:tcPr>
          <w:p w:rsidR="00450C2F" w:rsidRPr="00450C2F" w:rsidRDefault="00450C2F" w:rsidP="008D48CC">
            <w:pPr>
              <w:pStyle w:val="TableText"/>
            </w:pPr>
            <w:r w:rsidRPr="00450C2F">
              <w:t>299</w:t>
            </w:r>
          </w:p>
        </w:tc>
        <w:tc>
          <w:tcPr>
            <w:tcW w:w="810" w:type="dxa"/>
          </w:tcPr>
          <w:p w:rsidR="00450C2F" w:rsidRPr="00450C2F" w:rsidRDefault="00450C2F" w:rsidP="008D48CC">
            <w:pPr>
              <w:pStyle w:val="TableText"/>
            </w:pPr>
            <w:r w:rsidRPr="00450C2F">
              <w:t>4723</w:t>
            </w:r>
          </w:p>
        </w:tc>
      </w:tr>
      <w:tr w:rsidR="00450C2F" w:rsidRPr="00450C2F" w:rsidTr="00450C2F">
        <w:tc>
          <w:tcPr>
            <w:tcW w:w="2088" w:type="dxa"/>
            <w:tcBorders>
              <w:top w:val="nil"/>
              <w:bottom w:val="single" w:sz="4" w:space="0" w:color="A39892"/>
            </w:tcBorders>
          </w:tcPr>
          <w:p w:rsidR="00450C2F" w:rsidRPr="00450C2F" w:rsidRDefault="00450C2F" w:rsidP="008D48CC">
            <w:pPr>
              <w:pStyle w:val="TableText"/>
            </w:pPr>
          </w:p>
        </w:tc>
        <w:tc>
          <w:tcPr>
            <w:tcW w:w="990" w:type="dxa"/>
          </w:tcPr>
          <w:p w:rsidR="00450C2F" w:rsidRPr="00450C2F" w:rsidRDefault="00450C2F" w:rsidP="008D48CC">
            <w:pPr>
              <w:pStyle w:val="TableText"/>
            </w:pPr>
            <w:r w:rsidRPr="00450C2F">
              <w:t>2016–17</w:t>
            </w:r>
          </w:p>
        </w:tc>
        <w:tc>
          <w:tcPr>
            <w:tcW w:w="809" w:type="dxa"/>
          </w:tcPr>
          <w:p w:rsidR="00450C2F" w:rsidRPr="00450C2F" w:rsidRDefault="00450C2F" w:rsidP="008D48CC">
            <w:pPr>
              <w:pStyle w:val="TableText"/>
            </w:pPr>
            <w:r w:rsidRPr="00450C2F">
              <w:t>1983</w:t>
            </w:r>
          </w:p>
        </w:tc>
        <w:tc>
          <w:tcPr>
            <w:tcW w:w="809" w:type="dxa"/>
          </w:tcPr>
          <w:p w:rsidR="00450C2F" w:rsidRPr="00450C2F" w:rsidRDefault="00450C2F" w:rsidP="008D48CC">
            <w:pPr>
              <w:pStyle w:val="TableText"/>
            </w:pPr>
            <w:r w:rsidRPr="00450C2F">
              <w:t>1009</w:t>
            </w:r>
          </w:p>
        </w:tc>
        <w:tc>
          <w:tcPr>
            <w:tcW w:w="810" w:type="dxa"/>
          </w:tcPr>
          <w:p w:rsidR="00450C2F" w:rsidRPr="00450C2F" w:rsidRDefault="00450C2F" w:rsidP="008D48CC">
            <w:pPr>
              <w:pStyle w:val="TableText"/>
            </w:pPr>
            <w:r w:rsidRPr="00450C2F">
              <w:t>1626</w:t>
            </w:r>
          </w:p>
        </w:tc>
        <w:tc>
          <w:tcPr>
            <w:tcW w:w="809" w:type="dxa"/>
          </w:tcPr>
          <w:p w:rsidR="00450C2F" w:rsidRPr="00450C2F" w:rsidRDefault="00450C2F" w:rsidP="008D48CC">
            <w:pPr>
              <w:pStyle w:val="TableText"/>
            </w:pPr>
            <w:r w:rsidRPr="00450C2F">
              <w:t>273</w:t>
            </w:r>
          </w:p>
        </w:tc>
        <w:tc>
          <w:tcPr>
            <w:tcW w:w="809" w:type="dxa"/>
          </w:tcPr>
          <w:p w:rsidR="00450C2F" w:rsidRPr="00450C2F" w:rsidRDefault="00450C2F" w:rsidP="008D48CC">
            <w:pPr>
              <w:pStyle w:val="TableText"/>
            </w:pPr>
            <w:r w:rsidRPr="00450C2F">
              <w:t>312</w:t>
            </w:r>
          </w:p>
        </w:tc>
        <w:tc>
          <w:tcPr>
            <w:tcW w:w="810" w:type="dxa"/>
          </w:tcPr>
          <w:p w:rsidR="00450C2F" w:rsidRPr="00450C2F" w:rsidRDefault="00450C2F" w:rsidP="008D48CC">
            <w:pPr>
              <w:pStyle w:val="TableText"/>
            </w:pPr>
            <w:r w:rsidRPr="00450C2F">
              <w:t>5203</w:t>
            </w:r>
          </w:p>
        </w:tc>
      </w:tr>
      <w:tr w:rsidR="00450C2F" w:rsidRPr="00450C2F" w:rsidTr="00450C2F">
        <w:tc>
          <w:tcPr>
            <w:tcW w:w="2088" w:type="dxa"/>
            <w:tcBorders>
              <w:bottom w:val="nil"/>
            </w:tcBorders>
          </w:tcPr>
          <w:p w:rsidR="00450C2F" w:rsidRPr="00450C2F" w:rsidRDefault="00450C2F" w:rsidP="008D48CC">
            <w:pPr>
              <w:pStyle w:val="TableText"/>
            </w:pPr>
            <w:r w:rsidRPr="00450C2F">
              <w:t>Apps finalised by hearing</w:t>
            </w:r>
          </w:p>
        </w:tc>
        <w:tc>
          <w:tcPr>
            <w:tcW w:w="990" w:type="dxa"/>
          </w:tcPr>
          <w:p w:rsidR="00450C2F" w:rsidRPr="00450C2F" w:rsidRDefault="00450C2F" w:rsidP="008D48CC">
            <w:pPr>
              <w:pStyle w:val="TableText"/>
            </w:pPr>
            <w:r w:rsidRPr="00450C2F">
              <w:t>2017–18</w:t>
            </w:r>
          </w:p>
        </w:tc>
        <w:tc>
          <w:tcPr>
            <w:tcW w:w="809" w:type="dxa"/>
          </w:tcPr>
          <w:p w:rsidR="00450C2F" w:rsidRPr="00450C2F" w:rsidRDefault="00450C2F" w:rsidP="008D48CC">
            <w:pPr>
              <w:pStyle w:val="TableText"/>
            </w:pPr>
            <w:r w:rsidRPr="00450C2F">
              <w:t>247</w:t>
            </w:r>
          </w:p>
        </w:tc>
        <w:tc>
          <w:tcPr>
            <w:tcW w:w="809" w:type="dxa"/>
          </w:tcPr>
          <w:p w:rsidR="00450C2F" w:rsidRPr="00450C2F" w:rsidRDefault="00450C2F" w:rsidP="008D48CC">
            <w:pPr>
              <w:pStyle w:val="TableText"/>
            </w:pPr>
            <w:r w:rsidRPr="00450C2F">
              <w:t>118</w:t>
            </w:r>
          </w:p>
        </w:tc>
        <w:tc>
          <w:tcPr>
            <w:tcW w:w="810" w:type="dxa"/>
          </w:tcPr>
          <w:p w:rsidR="00450C2F" w:rsidRPr="00450C2F" w:rsidRDefault="00450C2F" w:rsidP="008D48CC">
            <w:pPr>
              <w:pStyle w:val="TableText"/>
            </w:pPr>
            <w:r w:rsidRPr="00450C2F">
              <w:t>399</w:t>
            </w:r>
          </w:p>
        </w:tc>
        <w:tc>
          <w:tcPr>
            <w:tcW w:w="809" w:type="dxa"/>
          </w:tcPr>
          <w:p w:rsidR="00450C2F" w:rsidRPr="00450C2F" w:rsidRDefault="00450C2F" w:rsidP="008D48CC">
            <w:pPr>
              <w:pStyle w:val="TableText"/>
            </w:pPr>
            <w:r w:rsidRPr="00450C2F">
              <w:t>82</w:t>
            </w:r>
          </w:p>
        </w:tc>
        <w:tc>
          <w:tcPr>
            <w:tcW w:w="809" w:type="dxa"/>
          </w:tcPr>
          <w:p w:rsidR="00450C2F" w:rsidRPr="00450C2F" w:rsidRDefault="00450C2F" w:rsidP="008D48CC">
            <w:pPr>
              <w:pStyle w:val="TableText"/>
            </w:pPr>
            <w:r w:rsidRPr="00450C2F">
              <w:t>94</w:t>
            </w:r>
          </w:p>
        </w:tc>
        <w:tc>
          <w:tcPr>
            <w:tcW w:w="810" w:type="dxa"/>
          </w:tcPr>
          <w:p w:rsidR="00450C2F" w:rsidRPr="00450C2F" w:rsidRDefault="00450C2F" w:rsidP="008D48CC">
            <w:pPr>
              <w:pStyle w:val="TableText"/>
            </w:pPr>
            <w:r w:rsidRPr="00450C2F">
              <w:t>940</w:t>
            </w:r>
          </w:p>
        </w:tc>
      </w:tr>
      <w:tr w:rsidR="00450C2F" w:rsidRPr="00450C2F" w:rsidTr="00450C2F">
        <w:tc>
          <w:tcPr>
            <w:tcW w:w="2088" w:type="dxa"/>
            <w:tcBorders>
              <w:top w:val="nil"/>
              <w:bottom w:val="single" w:sz="4" w:space="0" w:color="A39892"/>
            </w:tcBorders>
          </w:tcPr>
          <w:p w:rsidR="00450C2F" w:rsidRPr="00450C2F" w:rsidRDefault="00450C2F" w:rsidP="008D48CC">
            <w:pPr>
              <w:pStyle w:val="TableText"/>
            </w:pPr>
          </w:p>
        </w:tc>
        <w:tc>
          <w:tcPr>
            <w:tcW w:w="990" w:type="dxa"/>
          </w:tcPr>
          <w:p w:rsidR="00450C2F" w:rsidRPr="00450C2F" w:rsidRDefault="00450C2F" w:rsidP="008D48CC">
            <w:pPr>
              <w:pStyle w:val="TableText"/>
            </w:pPr>
            <w:r w:rsidRPr="00450C2F">
              <w:t>2016–17</w:t>
            </w:r>
          </w:p>
        </w:tc>
        <w:tc>
          <w:tcPr>
            <w:tcW w:w="809" w:type="dxa"/>
          </w:tcPr>
          <w:p w:rsidR="00450C2F" w:rsidRPr="00450C2F" w:rsidRDefault="00450C2F" w:rsidP="008D48CC">
            <w:pPr>
              <w:pStyle w:val="TableText"/>
            </w:pPr>
            <w:r w:rsidRPr="00450C2F">
              <w:t>282</w:t>
            </w:r>
          </w:p>
        </w:tc>
        <w:tc>
          <w:tcPr>
            <w:tcW w:w="809" w:type="dxa"/>
          </w:tcPr>
          <w:p w:rsidR="00450C2F" w:rsidRPr="00450C2F" w:rsidRDefault="00450C2F" w:rsidP="008D48CC">
            <w:pPr>
              <w:pStyle w:val="TableText"/>
            </w:pPr>
            <w:r w:rsidRPr="00450C2F">
              <w:t>229</w:t>
            </w:r>
          </w:p>
        </w:tc>
        <w:tc>
          <w:tcPr>
            <w:tcW w:w="810" w:type="dxa"/>
          </w:tcPr>
          <w:p w:rsidR="00450C2F" w:rsidRPr="00450C2F" w:rsidRDefault="00450C2F" w:rsidP="008D48CC">
            <w:pPr>
              <w:pStyle w:val="TableText"/>
            </w:pPr>
            <w:r w:rsidRPr="00450C2F">
              <w:t>377</w:t>
            </w:r>
          </w:p>
        </w:tc>
        <w:tc>
          <w:tcPr>
            <w:tcW w:w="809" w:type="dxa"/>
          </w:tcPr>
          <w:p w:rsidR="00450C2F" w:rsidRPr="00450C2F" w:rsidRDefault="00450C2F" w:rsidP="008D48CC">
            <w:pPr>
              <w:pStyle w:val="TableText"/>
            </w:pPr>
            <w:r w:rsidRPr="00450C2F">
              <w:t>96</w:t>
            </w:r>
          </w:p>
        </w:tc>
        <w:tc>
          <w:tcPr>
            <w:tcW w:w="809" w:type="dxa"/>
          </w:tcPr>
          <w:p w:rsidR="00450C2F" w:rsidRPr="00450C2F" w:rsidRDefault="00450C2F" w:rsidP="008D48CC">
            <w:pPr>
              <w:pStyle w:val="TableText"/>
            </w:pPr>
            <w:r w:rsidRPr="00450C2F">
              <w:t>109</w:t>
            </w:r>
          </w:p>
        </w:tc>
        <w:tc>
          <w:tcPr>
            <w:tcW w:w="810" w:type="dxa"/>
          </w:tcPr>
          <w:p w:rsidR="00450C2F" w:rsidRPr="00450C2F" w:rsidRDefault="00450C2F" w:rsidP="008D48CC">
            <w:pPr>
              <w:pStyle w:val="TableText"/>
            </w:pPr>
            <w:r w:rsidRPr="00450C2F">
              <w:t>1093</w:t>
            </w:r>
          </w:p>
        </w:tc>
      </w:tr>
      <w:tr w:rsidR="00450C2F" w:rsidRPr="00450C2F" w:rsidTr="00450C2F">
        <w:tc>
          <w:tcPr>
            <w:tcW w:w="2088" w:type="dxa"/>
            <w:tcBorders>
              <w:bottom w:val="nil"/>
            </w:tcBorders>
          </w:tcPr>
          <w:p w:rsidR="00450C2F" w:rsidRPr="00450C2F" w:rsidRDefault="00450C2F" w:rsidP="008D48CC">
            <w:pPr>
              <w:pStyle w:val="TableText"/>
            </w:pPr>
            <w:r w:rsidRPr="00450C2F">
              <w:t>Applications heard</w:t>
            </w:r>
          </w:p>
        </w:tc>
        <w:tc>
          <w:tcPr>
            <w:tcW w:w="990" w:type="dxa"/>
          </w:tcPr>
          <w:p w:rsidR="00450C2F" w:rsidRPr="00450C2F" w:rsidRDefault="00450C2F" w:rsidP="008D48CC">
            <w:pPr>
              <w:pStyle w:val="TableText"/>
            </w:pPr>
            <w:r w:rsidRPr="00450C2F">
              <w:t>2017–18</w:t>
            </w:r>
          </w:p>
        </w:tc>
        <w:tc>
          <w:tcPr>
            <w:tcW w:w="809" w:type="dxa"/>
          </w:tcPr>
          <w:p w:rsidR="00450C2F" w:rsidRPr="00450C2F" w:rsidRDefault="00450C2F" w:rsidP="008D48CC">
            <w:pPr>
              <w:pStyle w:val="TableText"/>
            </w:pPr>
            <w:r w:rsidRPr="00450C2F">
              <w:t>275</w:t>
            </w:r>
          </w:p>
        </w:tc>
        <w:tc>
          <w:tcPr>
            <w:tcW w:w="809" w:type="dxa"/>
          </w:tcPr>
          <w:p w:rsidR="00450C2F" w:rsidRPr="00450C2F" w:rsidRDefault="00450C2F" w:rsidP="008D48CC">
            <w:pPr>
              <w:pStyle w:val="TableText"/>
            </w:pPr>
            <w:r w:rsidRPr="00450C2F">
              <w:t>177</w:t>
            </w:r>
          </w:p>
        </w:tc>
        <w:tc>
          <w:tcPr>
            <w:tcW w:w="810" w:type="dxa"/>
          </w:tcPr>
          <w:p w:rsidR="00450C2F" w:rsidRPr="00450C2F" w:rsidRDefault="00450C2F" w:rsidP="008D48CC">
            <w:pPr>
              <w:pStyle w:val="TableText"/>
            </w:pPr>
            <w:r w:rsidRPr="00450C2F">
              <w:t>455</w:t>
            </w:r>
          </w:p>
        </w:tc>
        <w:tc>
          <w:tcPr>
            <w:tcW w:w="809" w:type="dxa"/>
          </w:tcPr>
          <w:p w:rsidR="00450C2F" w:rsidRPr="00450C2F" w:rsidRDefault="00450C2F" w:rsidP="008D48CC">
            <w:pPr>
              <w:pStyle w:val="TableText"/>
            </w:pPr>
            <w:r w:rsidRPr="00450C2F">
              <w:t>97</w:t>
            </w:r>
          </w:p>
        </w:tc>
        <w:tc>
          <w:tcPr>
            <w:tcW w:w="809" w:type="dxa"/>
          </w:tcPr>
          <w:p w:rsidR="00450C2F" w:rsidRPr="00450C2F" w:rsidRDefault="00450C2F" w:rsidP="008D48CC">
            <w:pPr>
              <w:pStyle w:val="TableText"/>
            </w:pPr>
            <w:r w:rsidRPr="00450C2F">
              <w:t>104</w:t>
            </w:r>
          </w:p>
        </w:tc>
        <w:tc>
          <w:tcPr>
            <w:tcW w:w="810" w:type="dxa"/>
          </w:tcPr>
          <w:p w:rsidR="00450C2F" w:rsidRPr="00450C2F" w:rsidRDefault="00450C2F" w:rsidP="008D48CC">
            <w:pPr>
              <w:pStyle w:val="TableText"/>
            </w:pPr>
            <w:r w:rsidRPr="00450C2F">
              <w:t>1108</w:t>
            </w:r>
          </w:p>
        </w:tc>
      </w:tr>
      <w:tr w:rsidR="00450C2F" w:rsidRPr="00450C2F" w:rsidTr="00450C2F">
        <w:tc>
          <w:tcPr>
            <w:tcW w:w="2088" w:type="dxa"/>
            <w:tcBorders>
              <w:top w:val="nil"/>
            </w:tcBorders>
          </w:tcPr>
          <w:p w:rsidR="00450C2F" w:rsidRPr="00450C2F" w:rsidRDefault="00450C2F" w:rsidP="008D48CC">
            <w:pPr>
              <w:pStyle w:val="TableText"/>
            </w:pPr>
          </w:p>
        </w:tc>
        <w:tc>
          <w:tcPr>
            <w:tcW w:w="990" w:type="dxa"/>
          </w:tcPr>
          <w:p w:rsidR="00450C2F" w:rsidRPr="00450C2F" w:rsidRDefault="00450C2F" w:rsidP="008D48CC">
            <w:pPr>
              <w:pStyle w:val="TableText"/>
            </w:pPr>
            <w:r w:rsidRPr="00450C2F">
              <w:t>2016–17</w:t>
            </w:r>
          </w:p>
        </w:tc>
        <w:tc>
          <w:tcPr>
            <w:tcW w:w="809" w:type="dxa"/>
          </w:tcPr>
          <w:p w:rsidR="00450C2F" w:rsidRPr="00450C2F" w:rsidRDefault="00450C2F" w:rsidP="008D48CC">
            <w:pPr>
              <w:pStyle w:val="TableText"/>
            </w:pPr>
            <w:r w:rsidRPr="00450C2F">
              <w:t>330</w:t>
            </w:r>
          </w:p>
        </w:tc>
        <w:tc>
          <w:tcPr>
            <w:tcW w:w="809" w:type="dxa"/>
          </w:tcPr>
          <w:p w:rsidR="00450C2F" w:rsidRPr="00450C2F" w:rsidRDefault="00450C2F" w:rsidP="008D48CC">
            <w:pPr>
              <w:pStyle w:val="TableText"/>
            </w:pPr>
            <w:r w:rsidRPr="00450C2F">
              <w:t>321</w:t>
            </w:r>
          </w:p>
        </w:tc>
        <w:tc>
          <w:tcPr>
            <w:tcW w:w="810" w:type="dxa"/>
          </w:tcPr>
          <w:p w:rsidR="00450C2F" w:rsidRPr="00450C2F" w:rsidRDefault="00450C2F" w:rsidP="008D48CC">
            <w:pPr>
              <w:pStyle w:val="TableText"/>
            </w:pPr>
            <w:r w:rsidRPr="00450C2F">
              <w:t>462</w:t>
            </w:r>
          </w:p>
        </w:tc>
        <w:tc>
          <w:tcPr>
            <w:tcW w:w="809" w:type="dxa"/>
          </w:tcPr>
          <w:p w:rsidR="00450C2F" w:rsidRPr="00450C2F" w:rsidRDefault="00450C2F" w:rsidP="008D48CC">
            <w:pPr>
              <w:pStyle w:val="TableText"/>
            </w:pPr>
            <w:r w:rsidRPr="00450C2F">
              <w:t>94</w:t>
            </w:r>
          </w:p>
        </w:tc>
        <w:tc>
          <w:tcPr>
            <w:tcW w:w="809" w:type="dxa"/>
          </w:tcPr>
          <w:p w:rsidR="00450C2F" w:rsidRPr="00450C2F" w:rsidRDefault="00450C2F" w:rsidP="008D48CC">
            <w:pPr>
              <w:pStyle w:val="TableText"/>
            </w:pPr>
            <w:r w:rsidRPr="00450C2F">
              <w:t>132</w:t>
            </w:r>
          </w:p>
        </w:tc>
        <w:tc>
          <w:tcPr>
            <w:tcW w:w="810" w:type="dxa"/>
          </w:tcPr>
          <w:p w:rsidR="00450C2F" w:rsidRPr="00450C2F" w:rsidRDefault="00450C2F" w:rsidP="008D48CC">
            <w:pPr>
              <w:pStyle w:val="TableText"/>
            </w:pPr>
            <w:r w:rsidRPr="00450C2F">
              <w:t>1339</w:t>
            </w:r>
          </w:p>
        </w:tc>
      </w:tr>
      <w:tr w:rsidR="00450C2F" w:rsidRPr="00450C2F" w:rsidTr="00450C2F">
        <w:tc>
          <w:tcPr>
            <w:tcW w:w="2088" w:type="dxa"/>
            <w:tcBorders>
              <w:bottom w:val="nil"/>
            </w:tcBorders>
          </w:tcPr>
          <w:p w:rsidR="00450C2F" w:rsidRPr="00450C2F" w:rsidRDefault="00450C2F" w:rsidP="008D48CC">
            <w:pPr>
              <w:pStyle w:val="TableText"/>
            </w:pPr>
            <w:r w:rsidRPr="00450C2F">
              <w:t>Matters heard</w:t>
            </w:r>
          </w:p>
        </w:tc>
        <w:tc>
          <w:tcPr>
            <w:tcW w:w="990" w:type="dxa"/>
          </w:tcPr>
          <w:p w:rsidR="00450C2F" w:rsidRPr="00450C2F" w:rsidRDefault="00450C2F" w:rsidP="008D48CC">
            <w:pPr>
              <w:pStyle w:val="TableText"/>
            </w:pPr>
            <w:r w:rsidRPr="00450C2F">
              <w:t>2017–18</w:t>
            </w:r>
          </w:p>
        </w:tc>
        <w:tc>
          <w:tcPr>
            <w:tcW w:w="809" w:type="dxa"/>
          </w:tcPr>
          <w:p w:rsidR="00450C2F" w:rsidRPr="00450C2F" w:rsidRDefault="00450C2F" w:rsidP="008D48CC">
            <w:pPr>
              <w:pStyle w:val="TableText"/>
            </w:pPr>
            <w:r w:rsidRPr="00450C2F">
              <w:t>630</w:t>
            </w:r>
          </w:p>
        </w:tc>
        <w:tc>
          <w:tcPr>
            <w:tcW w:w="809" w:type="dxa"/>
          </w:tcPr>
          <w:p w:rsidR="00450C2F" w:rsidRPr="00450C2F" w:rsidRDefault="00450C2F" w:rsidP="008D48CC">
            <w:pPr>
              <w:pStyle w:val="TableText"/>
            </w:pPr>
            <w:r w:rsidRPr="00450C2F">
              <w:t>406</w:t>
            </w:r>
          </w:p>
        </w:tc>
        <w:tc>
          <w:tcPr>
            <w:tcW w:w="810" w:type="dxa"/>
          </w:tcPr>
          <w:p w:rsidR="00450C2F" w:rsidRPr="00450C2F" w:rsidRDefault="00450C2F" w:rsidP="008D48CC">
            <w:pPr>
              <w:pStyle w:val="TableText"/>
            </w:pPr>
            <w:r w:rsidRPr="00450C2F">
              <w:t>1044</w:t>
            </w:r>
          </w:p>
        </w:tc>
        <w:tc>
          <w:tcPr>
            <w:tcW w:w="809" w:type="dxa"/>
          </w:tcPr>
          <w:p w:rsidR="00450C2F" w:rsidRPr="00450C2F" w:rsidRDefault="00450C2F" w:rsidP="008D48CC">
            <w:pPr>
              <w:pStyle w:val="TableText"/>
            </w:pPr>
            <w:r w:rsidRPr="00450C2F">
              <w:t>221</w:t>
            </w:r>
          </w:p>
        </w:tc>
        <w:tc>
          <w:tcPr>
            <w:tcW w:w="809" w:type="dxa"/>
          </w:tcPr>
          <w:p w:rsidR="00450C2F" w:rsidRPr="00450C2F" w:rsidRDefault="00450C2F" w:rsidP="008D48CC">
            <w:pPr>
              <w:pStyle w:val="TableText"/>
            </w:pPr>
            <w:r w:rsidRPr="00450C2F">
              <w:t>239</w:t>
            </w:r>
          </w:p>
        </w:tc>
        <w:tc>
          <w:tcPr>
            <w:tcW w:w="810" w:type="dxa"/>
          </w:tcPr>
          <w:p w:rsidR="00450C2F" w:rsidRPr="00450C2F" w:rsidRDefault="00450C2F" w:rsidP="008D48CC">
            <w:pPr>
              <w:pStyle w:val="TableText"/>
            </w:pPr>
            <w:r w:rsidRPr="00450C2F">
              <w:t>2540</w:t>
            </w:r>
          </w:p>
        </w:tc>
      </w:tr>
      <w:tr w:rsidR="00450C2F" w:rsidRPr="00450C2F" w:rsidTr="00450C2F">
        <w:tc>
          <w:tcPr>
            <w:tcW w:w="2088" w:type="dxa"/>
            <w:tcBorders>
              <w:top w:val="nil"/>
              <w:bottom w:val="single" w:sz="4" w:space="0" w:color="A39892"/>
            </w:tcBorders>
          </w:tcPr>
          <w:p w:rsidR="00450C2F" w:rsidRPr="00450C2F" w:rsidRDefault="00450C2F" w:rsidP="008D48CC">
            <w:pPr>
              <w:pStyle w:val="TableText"/>
            </w:pPr>
          </w:p>
        </w:tc>
        <w:tc>
          <w:tcPr>
            <w:tcW w:w="990" w:type="dxa"/>
          </w:tcPr>
          <w:p w:rsidR="00450C2F" w:rsidRPr="00450C2F" w:rsidRDefault="00450C2F" w:rsidP="008D48CC">
            <w:pPr>
              <w:pStyle w:val="TableText"/>
            </w:pPr>
            <w:r w:rsidRPr="00450C2F">
              <w:t>2016–17</w:t>
            </w:r>
          </w:p>
        </w:tc>
        <w:tc>
          <w:tcPr>
            <w:tcW w:w="809" w:type="dxa"/>
          </w:tcPr>
          <w:p w:rsidR="00450C2F" w:rsidRPr="00450C2F" w:rsidRDefault="00450C2F" w:rsidP="008D48CC">
            <w:pPr>
              <w:pStyle w:val="TableText"/>
            </w:pPr>
            <w:r w:rsidRPr="00450C2F">
              <w:t>808</w:t>
            </w:r>
          </w:p>
        </w:tc>
        <w:tc>
          <w:tcPr>
            <w:tcW w:w="809" w:type="dxa"/>
          </w:tcPr>
          <w:p w:rsidR="00450C2F" w:rsidRPr="00450C2F" w:rsidRDefault="00450C2F" w:rsidP="008D48CC">
            <w:pPr>
              <w:pStyle w:val="TableText"/>
            </w:pPr>
            <w:r w:rsidRPr="00450C2F">
              <w:t>765</w:t>
            </w:r>
          </w:p>
        </w:tc>
        <w:tc>
          <w:tcPr>
            <w:tcW w:w="810" w:type="dxa"/>
          </w:tcPr>
          <w:p w:rsidR="00450C2F" w:rsidRPr="00450C2F" w:rsidRDefault="00450C2F" w:rsidP="008D48CC">
            <w:pPr>
              <w:pStyle w:val="TableText"/>
            </w:pPr>
            <w:r w:rsidRPr="00450C2F">
              <w:t>901</w:t>
            </w:r>
          </w:p>
        </w:tc>
        <w:tc>
          <w:tcPr>
            <w:tcW w:w="809" w:type="dxa"/>
          </w:tcPr>
          <w:p w:rsidR="00450C2F" w:rsidRPr="00450C2F" w:rsidRDefault="00450C2F" w:rsidP="008D48CC">
            <w:pPr>
              <w:pStyle w:val="TableText"/>
            </w:pPr>
            <w:r w:rsidRPr="00450C2F">
              <w:t>202</w:t>
            </w:r>
          </w:p>
        </w:tc>
        <w:tc>
          <w:tcPr>
            <w:tcW w:w="809" w:type="dxa"/>
          </w:tcPr>
          <w:p w:rsidR="00450C2F" w:rsidRPr="00450C2F" w:rsidRDefault="00450C2F" w:rsidP="008D48CC">
            <w:pPr>
              <w:pStyle w:val="TableText"/>
            </w:pPr>
            <w:r w:rsidRPr="00450C2F">
              <w:t>351</w:t>
            </w:r>
          </w:p>
        </w:tc>
        <w:tc>
          <w:tcPr>
            <w:tcW w:w="810" w:type="dxa"/>
          </w:tcPr>
          <w:p w:rsidR="00450C2F" w:rsidRPr="00450C2F" w:rsidRDefault="00450C2F" w:rsidP="008D48CC">
            <w:pPr>
              <w:pStyle w:val="TableText"/>
            </w:pPr>
            <w:r w:rsidRPr="00450C2F">
              <w:t>3027</w:t>
            </w:r>
          </w:p>
        </w:tc>
      </w:tr>
      <w:tr w:rsidR="00450C2F" w:rsidRPr="00450C2F" w:rsidTr="00450C2F">
        <w:tc>
          <w:tcPr>
            <w:tcW w:w="2088" w:type="dxa"/>
            <w:tcBorders>
              <w:bottom w:val="nil"/>
            </w:tcBorders>
          </w:tcPr>
          <w:p w:rsidR="00450C2F" w:rsidRPr="00450C2F" w:rsidRDefault="00450C2F" w:rsidP="008D48CC">
            <w:pPr>
              <w:pStyle w:val="TableText"/>
            </w:pPr>
            <w:r w:rsidRPr="00450C2F">
              <w:t>Applications outstanding</w:t>
            </w:r>
          </w:p>
        </w:tc>
        <w:tc>
          <w:tcPr>
            <w:tcW w:w="990" w:type="dxa"/>
          </w:tcPr>
          <w:p w:rsidR="00450C2F" w:rsidRPr="00450C2F" w:rsidRDefault="00450C2F" w:rsidP="008D48CC">
            <w:pPr>
              <w:pStyle w:val="TableText"/>
            </w:pPr>
            <w:r w:rsidRPr="00450C2F">
              <w:t>2017–18</w:t>
            </w:r>
          </w:p>
        </w:tc>
        <w:tc>
          <w:tcPr>
            <w:tcW w:w="809" w:type="dxa"/>
          </w:tcPr>
          <w:p w:rsidR="00450C2F" w:rsidRPr="00450C2F" w:rsidRDefault="00450C2F" w:rsidP="008D48CC">
            <w:pPr>
              <w:pStyle w:val="TableText"/>
            </w:pPr>
            <w:r w:rsidRPr="00450C2F">
              <w:t>1031</w:t>
            </w:r>
          </w:p>
        </w:tc>
        <w:tc>
          <w:tcPr>
            <w:tcW w:w="809" w:type="dxa"/>
          </w:tcPr>
          <w:p w:rsidR="00450C2F" w:rsidRPr="00450C2F" w:rsidRDefault="00450C2F" w:rsidP="008D48CC">
            <w:pPr>
              <w:pStyle w:val="TableText"/>
            </w:pPr>
            <w:r w:rsidRPr="00450C2F">
              <w:t>468</w:t>
            </w:r>
          </w:p>
        </w:tc>
        <w:tc>
          <w:tcPr>
            <w:tcW w:w="810" w:type="dxa"/>
          </w:tcPr>
          <w:p w:rsidR="00450C2F" w:rsidRPr="00450C2F" w:rsidRDefault="00450C2F" w:rsidP="008D48CC">
            <w:pPr>
              <w:pStyle w:val="TableText"/>
            </w:pPr>
            <w:r w:rsidRPr="00450C2F">
              <w:t>684</w:t>
            </w:r>
          </w:p>
        </w:tc>
        <w:tc>
          <w:tcPr>
            <w:tcW w:w="809" w:type="dxa"/>
          </w:tcPr>
          <w:p w:rsidR="00450C2F" w:rsidRPr="00450C2F" w:rsidRDefault="00450C2F" w:rsidP="008D48CC">
            <w:pPr>
              <w:pStyle w:val="TableText"/>
            </w:pPr>
            <w:r w:rsidRPr="00450C2F">
              <w:t>152</w:t>
            </w:r>
          </w:p>
        </w:tc>
        <w:tc>
          <w:tcPr>
            <w:tcW w:w="809" w:type="dxa"/>
          </w:tcPr>
          <w:p w:rsidR="00450C2F" w:rsidRPr="00450C2F" w:rsidRDefault="00450C2F" w:rsidP="008D48CC">
            <w:pPr>
              <w:pStyle w:val="TableText"/>
            </w:pPr>
            <w:r w:rsidRPr="00450C2F">
              <w:t>142</w:t>
            </w:r>
          </w:p>
        </w:tc>
        <w:tc>
          <w:tcPr>
            <w:tcW w:w="810" w:type="dxa"/>
          </w:tcPr>
          <w:p w:rsidR="00450C2F" w:rsidRPr="00450C2F" w:rsidRDefault="00450C2F" w:rsidP="008D48CC">
            <w:pPr>
              <w:pStyle w:val="TableText"/>
            </w:pPr>
            <w:r w:rsidRPr="00450C2F">
              <w:t>2480</w:t>
            </w:r>
          </w:p>
        </w:tc>
      </w:tr>
      <w:tr w:rsidR="00450C2F" w:rsidRPr="00450C2F" w:rsidTr="00450C2F">
        <w:tc>
          <w:tcPr>
            <w:tcW w:w="2088" w:type="dxa"/>
            <w:tcBorders>
              <w:top w:val="nil"/>
            </w:tcBorders>
          </w:tcPr>
          <w:p w:rsidR="00450C2F" w:rsidRPr="00450C2F" w:rsidRDefault="00450C2F" w:rsidP="008D48CC">
            <w:pPr>
              <w:pStyle w:val="TableText"/>
            </w:pPr>
          </w:p>
        </w:tc>
        <w:tc>
          <w:tcPr>
            <w:tcW w:w="990" w:type="dxa"/>
          </w:tcPr>
          <w:p w:rsidR="00450C2F" w:rsidRPr="00450C2F" w:rsidRDefault="00450C2F" w:rsidP="008D48CC">
            <w:pPr>
              <w:pStyle w:val="TableText"/>
            </w:pPr>
            <w:r w:rsidRPr="00450C2F">
              <w:t>2016–17</w:t>
            </w:r>
          </w:p>
        </w:tc>
        <w:tc>
          <w:tcPr>
            <w:tcW w:w="809" w:type="dxa"/>
          </w:tcPr>
          <w:p w:rsidR="00450C2F" w:rsidRPr="00450C2F" w:rsidRDefault="00450C2F" w:rsidP="008D48CC">
            <w:pPr>
              <w:pStyle w:val="TableText"/>
            </w:pPr>
            <w:r w:rsidRPr="00450C2F">
              <w:t>978</w:t>
            </w:r>
          </w:p>
        </w:tc>
        <w:tc>
          <w:tcPr>
            <w:tcW w:w="809" w:type="dxa"/>
          </w:tcPr>
          <w:p w:rsidR="00450C2F" w:rsidRPr="00450C2F" w:rsidRDefault="00450C2F" w:rsidP="008D48CC">
            <w:pPr>
              <w:pStyle w:val="TableText"/>
            </w:pPr>
            <w:r w:rsidRPr="00450C2F">
              <w:t>431</w:t>
            </w:r>
          </w:p>
        </w:tc>
        <w:tc>
          <w:tcPr>
            <w:tcW w:w="810" w:type="dxa"/>
          </w:tcPr>
          <w:p w:rsidR="00450C2F" w:rsidRPr="00450C2F" w:rsidRDefault="00450C2F" w:rsidP="008D48CC">
            <w:pPr>
              <w:pStyle w:val="TableText"/>
            </w:pPr>
            <w:r w:rsidRPr="00450C2F">
              <w:t>726</w:t>
            </w:r>
          </w:p>
        </w:tc>
        <w:tc>
          <w:tcPr>
            <w:tcW w:w="809" w:type="dxa"/>
          </w:tcPr>
          <w:p w:rsidR="00450C2F" w:rsidRPr="00450C2F" w:rsidRDefault="00450C2F" w:rsidP="008D48CC">
            <w:pPr>
              <w:pStyle w:val="TableText"/>
            </w:pPr>
            <w:r w:rsidRPr="00450C2F">
              <w:t>141</w:t>
            </w:r>
          </w:p>
        </w:tc>
        <w:tc>
          <w:tcPr>
            <w:tcW w:w="809" w:type="dxa"/>
          </w:tcPr>
          <w:p w:rsidR="00450C2F" w:rsidRPr="00450C2F" w:rsidRDefault="00450C2F" w:rsidP="008D48CC">
            <w:pPr>
              <w:pStyle w:val="TableText"/>
            </w:pPr>
            <w:r w:rsidRPr="00450C2F">
              <w:t>121</w:t>
            </w:r>
          </w:p>
        </w:tc>
        <w:tc>
          <w:tcPr>
            <w:tcW w:w="810" w:type="dxa"/>
          </w:tcPr>
          <w:p w:rsidR="00450C2F" w:rsidRPr="00450C2F" w:rsidRDefault="00450C2F" w:rsidP="008D48CC">
            <w:pPr>
              <w:pStyle w:val="TableText"/>
            </w:pPr>
            <w:r w:rsidRPr="00450C2F">
              <w:t>2397</w:t>
            </w:r>
          </w:p>
        </w:tc>
      </w:tr>
      <w:bookmarkEnd w:id="15"/>
    </w:tbl>
    <w:p w:rsidR="00450C2F" w:rsidRDefault="00450C2F" w:rsidP="00450C2F"/>
    <w:p w:rsidR="00B22CAF" w:rsidRDefault="00B22CAF" w:rsidP="00CD092B">
      <w:pPr>
        <w:pStyle w:val="Heading3"/>
        <w:pageBreakBefore/>
        <w:spacing w:before="0"/>
      </w:pPr>
      <w:r>
        <w:lastRenderedPageBreak/>
        <w:t>OUTCOME 2:</w:t>
      </w:r>
      <w:r>
        <w:br/>
        <w:t>HIGH ASSURANCE THAT DECISIONS ARE CORRECT</w:t>
      </w:r>
    </w:p>
    <w:p w:rsidR="00B22CAF" w:rsidRDefault="00B22CAF" w:rsidP="00B22CAF">
      <w:r>
        <w:t>A written statement of decisions and reasons</w:t>
      </w:r>
      <w:r w:rsidR="001D1DCA">
        <w:fldChar w:fldCharType="begin"/>
      </w:r>
      <w:r w:rsidR="001D1DCA">
        <w:instrText xml:space="preserve"> XE "</w:instrText>
      </w:r>
      <w:r w:rsidR="001D1DCA" w:rsidRPr="002D7689">
        <w:instrText>reasons</w:instrText>
      </w:r>
      <w:r w:rsidR="001D1DCA">
        <w:instrText xml:space="preserve">" </w:instrText>
      </w:r>
      <w:r w:rsidR="001D1DCA">
        <w:fldChar w:fldCharType="end"/>
      </w:r>
      <w:r>
        <w:t xml:space="preserve"> is prepared in each case and these are provided to both the applicant and the relevant commission.</w:t>
      </w:r>
    </w:p>
    <w:p w:rsidR="00B22CAF" w:rsidRDefault="00B22CAF" w:rsidP="00B22CAF">
      <w:r>
        <w:t>The review of a Repatriation Commission</w:t>
      </w:r>
      <w:r w:rsidR="0005789C">
        <w:fldChar w:fldCharType="begin"/>
      </w:r>
      <w:r w:rsidR="0005789C">
        <w:instrText xml:space="preserve"> XE "</w:instrText>
      </w:r>
      <w:r w:rsidR="0005789C" w:rsidRPr="002D7689">
        <w:instrText>Repatriation Commission</w:instrText>
      </w:r>
      <w:r w:rsidR="0005789C">
        <w:instrText xml:space="preserve">" </w:instrText>
      </w:r>
      <w:r w:rsidR="0005789C">
        <w:fldChar w:fldCharType="end"/>
      </w:r>
      <w:r>
        <w:t xml:space="preserve"> decision may involve deciding more than one</w:t>
      </w:r>
      <w:r w:rsidR="00CD092B">
        <w:t xml:space="preserve"> </w:t>
      </w:r>
      <w:r>
        <w:t>substantive matter of entitlement and/or assessment. During 2017–18, there was an average of 2.1</w:t>
      </w:r>
      <w:r w:rsidR="00CD092B">
        <w:t xml:space="preserve"> </w:t>
      </w:r>
      <w:r>
        <w:t>matters for each VEA application heard. During 2017–18, decisions concerning 1456 VEA matters</w:t>
      </w:r>
      <w:r w:rsidR="00660120">
        <w:fldChar w:fldCharType="begin"/>
      </w:r>
      <w:r w:rsidR="00660120">
        <w:instrText xml:space="preserve"> XE "</w:instrText>
      </w:r>
      <w:r w:rsidR="00660120" w:rsidRPr="003924C2">
        <w:instrText>matters decided</w:instrText>
      </w:r>
      <w:r w:rsidR="00660120">
        <w:instrText xml:space="preserve">" </w:instrText>
      </w:r>
      <w:r w:rsidR="00660120">
        <w:fldChar w:fldCharType="end"/>
      </w:r>
      <w:r w:rsidR="00CD092B">
        <w:t xml:space="preserve"> </w:t>
      </w:r>
      <w:r>
        <w:t>were published.</w:t>
      </w:r>
    </w:p>
    <w:p w:rsidR="00B22CAF" w:rsidRDefault="00B22CAF" w:rsidP="00B22CAF">
      <w:bookmarkStart w:id="16" w:name="TOC_liability"/>
      <w:r>
        <w:t>The review of a MRCC determination also usually involves determining more than one substantive</w:t>
      </w:r>
      <w:r w:rsidR="00CD092B">
        <w:t xml:space="preserve"> </w:t>
      </w:r>
      <w:r>
        <w:t>matter of liability</w:t>
      </w:r>
      <w:r w:rsidR="00C863AA">
        <w:fldChar w:fldCharType="begin"/>
      </w:r>
      <w:r w:rsidR="00C863AA">
        <w:instrText xml:space="preserve"> XE "</w:instrText>
      </w:r>
      <w:r w:rsidR="00C863AA" w:rsidRPr="003924C2">
        <w:instrText>liability</w:instrText>
      </w:r>
      <w:r w:rsidR="00C863AA">
        <w:instrText xml:space="preserve">" \r "TOC_liability" </w:instrText>
      </w:r>
      <w:r w:rsidR="00C863AA">
        <w:fldChar w:fldCharType="end"/>
      </w:r>
      <w:r>
        <w:t>, compensation, treatment</w:t>
      </w:r>
      <w:r w:rsidR="004A74AE">
        <w:fldChar w:fldCharType="begin"/>
      </w:r>
      <w:r w:rsidR="004A74AE">
        <w:instrText xml:space="preserve"> XE "</w:instrText>
      </w:r>
      <w:r w:rsidR="004A74AE" w:rsidRPr="002D7689">
        <w:instrText>treatment</w:instrText>
      </w:r>
      <w:r w:rsidR="004A74AE">
        <w:instrText xml:space="preserve">" </w:instrText>
      </w:r>
      <w:r w:rsidR="004A74AE">
        <w:fldChar w:fldCharType="end"/>
      </w:r>
      <w:r>
        <w:t>, rehabilitation</w:t>
      </w:r>
      <w:r w:rsidR="0005789C">
        <w:fldChar w:fldCharType="begin"/>
      </w:r>
      <w:r w:rsidR="0005789C">
        <w:instrText xml:space="preserve"> XE "</w:instrText>
      </w:r>
      <w:r w:rsidR="0005789C" w:rsidRPr="002D7689">
        <w:instrText>rehabilitation</w:instrText>
      </w:r>
      <w:r w:rsidR="0005789C">
        <w:instrText xml:space="preserve">" </w:instrText>
      </w:r>
      <w:r w:rsidR="0005789C">
        <w:fldChar w:fldCharType="end"/>
      </w:r>
      <w:r>
        <w:t xml:space="preserve"> or other matter. During 2017–18 there</w:t>
      </w:r>
      <w:r w:rsidR="00CD092B">
        <w:t xml:space="preserve"> </w:t>
      </w:r>
      <w:r>
        <w:t>were an average of 2.7 matters for each MRCA application heard. In 2017–18, determinations</w:t>
      </w:r>
      <w:r w:rsidR="00CD092B">
        <w:t xml:space="preserve"> </w:t>
      </w:r>
      <w:r>
        <w:t>concerning 915 MRCA matters were published.</w:t>
      </w:r>
    </w:p>
    <w:p w:rsidR="00B22CAF" w:rsidRDefault="00B22CAF" w:rsidP="00B22CAF">
      <w:r>
        <w:t>In this reporting year the Board set aside:</w:t>
      </w:r>
    </w:p>
    <w:p w:rsidR="00B22CAF" w:rsidRDefault="00B22CAF" w:rsidP="00B62BA7">
      <w:pPr>
        <w:pStyle w:val="Bullet"/>
        <w:spacing w:after="100"/>
      </w:pPr>
      <w:r>
        <w:t>61.9 per cent of death matters reviewed</w:t>
      </w:r>
    </w:p>
    <w:p w:rsidR="00B22CAF" w:rsidRDefault="00B22CAF" w:rsidP="00B62BA7">
      <w:pPr>
        <w:pStyle w:val="Bullet"/>
        <w:spacing w:after="100"/>
      </w:pPr>
      <w:r>
        <w:t>53.6 per cent of disability or liability matters reviewed</w:t>
      </w:r>
    </w:p>
    <w:p w:rsidR="00B22CAF" w:rsidRDefault="00B22CAF" w:rsidP="00CD092B">
      <w:pPr>
        <w:pStyle w:val="Bullet"/>
      </w:pPr>
      <w:r>
        <w:t>70.4 per cent of assessment or compensation matters.</w:t>
      </w:r>
    </w:p>
    <w:p w:rsidR="00B22CAF" w:rsidRDefault="00B22CAF" w:rsidP="00B22CAF">
      <w:r>
        <w:t>In total, 59.8 per cent of all matters reviewed were set aside.</w:t>
      </w:r>
    </w:p>
    <w:p w:rsidR="00B22CAF" w:rsidRDefault="00B22CAF" w:rsidP="00B22CAF">
      <w:r>
        <w:t>The fact that a decision is set aside by the Board is not necessarily a reflection on the quality of</w:t>
      </w:r>
      <w:r w:rsidR="00CD092B">
        <w:t xml:space="preserve"> </w:t>
      </w:r>
      <w:r>
        <w:t>the primary decision. Set aside and affirmation rates may vary for a wide variety of reasons. Some</w:t>
      </w:r>
      <w:r w:rsidR="00CD092B">
        <w:t xml:space="preserve"> </w:t>
      </w:r>
      <w:r>
        <w:t>of the factors that may have influenced these results include:</w:t>
      </w:r>
    </w:p>
    <w:p w:rsidR="00B22CAF" w:rsidRDefault="00B22CAF" w:rsidP="00B62BA7">
      <w:pPr>
        <w:pStyle w:val="Bullet"/>
        <w:spacing w:after="100"/>
      </w:pPr>
      <w:r>
        <w:t>the approach taken by applicants and representatives</w:t>
      </w:r>
      <w:r w:rsidR="0005789C">
        <w:fldChar w:fldCharType="begin"/>
      </w:r>
      <w:r w:rsidR="0005789C">
        <w:instrText xml:space="preserve"> XE "</w:instrText>
      </w:r>
      <w:r w:rsidR="0005789C" w:rsidRPr="002D7689">
        <w:instrText>representatives</w:instrText>
      </w:r>
      <w:r w:rsidR="0005789C">
        <w:instrText xml:space="preserve">" </w:instrText>
      </w:r>
      <w:r w:rsidR="0005789C">
        <w:fldChar w:fldCharType="end"/>
      </w:r>
      <w:r>
        <w:t xml:space="preserve"> to the matters on which review will be</w:t>
      </w:r>
      <w:r w:rsidR="00CD092B">
        <w:t xml:space="preserve"> </w:t>
      </w:r>
      <w:r>
        <w:t>sought</w:t>
      </w:r>
    </w:p>
    <w:p w:rsidR="00B22CAF" w:rsidRDefault="00B22CAF" w:rsidP="00B62BA7">
      <w:pPr>
        <w:pStyle w:val="Bullet"/>
        <w:spacing w:after="100"/>
      </w:pPr>
      <w:r>
        <w:t>the extent to which intervention occurs by the relevant Commission under s31</w:t>
      </w:r>
      <w:r w:rsidR="0005789C">
        <w:fldChar w:fldCharType="begin"/>
      </w:r>
      <w:r w:rsidR="0005789C">
        <w:instrText xml:space="preserve"> XE "</w:instrText>
      </w:r>
      <w:r w:rsidR="0005789C" w:rsidRPr="002D7689">
        <w:instrText>section 31 review</w:instrText>
      </w:r>
      <w:r w:rsidR="0005789C">
        <w:instrText xml:space="preserve">" </w:instrText>
      </w:r>
      <w:r w:rsidR="0005789C">
        <w:fldChar w:fldCharType="end"/>
      </w:r>
      <w:r>
        <w:t xml:space="preserve"> of the VEA or</w:t>
      </w:r>
      <w:r w:rsidR="00CD092B">
        <w:t xml:space="preserve"> </w:t>
      </w:r>
      <w:r>
        <w:t>s347</w:t>
      </w:r>
      <w:r w:rsidR="0005789C">
        <w:fldChar w:fldCharType="begin"/>
      </w:r>
      <w:r w:rsidR="0005789C">
        <w:instrText xml:space="preserve"> XE "</w:instrText>
      </w:r>
      <w:r w:rsidR="0005789C" w:rsidRPr="002D7689">
        <w:instrText>section 347 reconsideration</w:instrText>
      </w:r>
      <w:r w:rsidR="0005789C">
        <w:instrText xml:space="preserve">" </w:instrText>
      </w:r>
      <w:r w:rsidR="0005789C">
        <w:fldChar w:fldCharType="end"/>
      </w:r>
      <w:r>
        <w:t xml:space="preserve"> of the MRCA</w:t>
      </w:r>
    </w:p>
    <w:p w:rsidR="00B22CAF" w:rsidRDefault="00B22CAF" w:rsidP="00B62BA7">
      <w:pPr>
        <w:pStyle w:val="Bullet"/>
        <w:spacing w:after="100"/>
      </w:pPr>
      <w:r>
        <w:t>the adequacy of information presented to primary decision-makers</w:t>
      </w:r>
    </w:p>
    <w:p w:rsidR="00B22CAF" w:rsidRDefault="00B22CAF" w:rsidP="00B62BA7">
      <w:pPr>
        <w:pStyle w:val="Bullet"/>
        <w:spacing w:after="100"/>
      </w:pPr>
      <w:r>
        <w:t>the nature and extent of new material presented on review</w:t>
      </w:r>
    </w:p>
    <w:p w:rsidR="00B22CAF" w:rsidRDefault="00B22CAF" w:rsidP="00B62BA7">
      <w:pPr>
        <w:pStyle w:val="Bullet"/>
        <w:spacing w:after="100"/>
      </w:pPr>
      <w:r>
        <w:t>changes to Statements of Principles</w:t>
      </w:r>
      <w:r w:rsidR="004A74AE">
        <w:fldChar w:fldCharType="begin"/>
      </w:r>
      <w:r w:rsidR="004A74AE">
        <w:instrText xml:space="preserve"> XE "</w:instrText>
      </w:r>
      <w:r w:rsidR="004A74AE" w:rsidRPr="002D7689">
        <w:instrText>Statements of Principles</w:instrText>
      </w:r>
      <w:r w:rsidR="004A74AE">
        <w:instrText xml:space="preserve">" </w:instrText>
      </w:r>
      <w:r w:rsidR="004A74AE">
        <w:fldChar w:fldCharType="end"/>
      </w:r>
      <w:r>
        <w:t xml:space="preserve"> between the primary decision and that made by the</w:t>
      </w:r>
      <w:r w:rsidR="00CD092B">
        <w:t xml:space="preserve"> </w:t>
      </w:r>
      <w:r>
        <w:t>Board, or a shift in focus by the applicant to a different factor in the Statement of Principles</w:t>
      </w:r>
    </w:p>
    <w:p w:rsidR="00B22CAF" w:rsidRDefault="00B22CAF" w:rsidP="00CD092B">
      <w:pPr>
        <w:pStyle w:val="Bullet"/>
      </w:pPr>
      <w:r>
        <w:t>changes in an applicant’s degree of incapacity or impairment between the date of the decision</w:t>
      </w:r>
      <w:r w:rsidR="00CD092B">
        <w:t xml:space="preserve"> </w:t>
      </w:r>
      <w:r>
        <w:t>under review and the date of the final hearing at the VRB in an assessment or compensation</w:t>
      </w:r>
      <w:r w:rsidR="00CD092B">
        <w:t xml:space="preserve"> </w:t>
      </w:r>
      <w:r>
        <w:t>matter.</w:t>
      </w:r>
    </w:p>
    <w:p w:rsidR="00B22CAF" w:rsidRDefault="00B22CAF" w:rsidP="00B22CAF">
      <w:r>
        <w:t>If a VRB panel reviews an application and receives further oral evidence during a hearing, issues</w:t>
      </w:r>
      <w:r w:rsidR="00CD092B">
        <w:t xml:space="preserve"> </w:t>
      </w:r>
      <w:r>
        <w:t>might need clarification or further investigation. Alternatively, the applicant might need a further</w:t>
      </w:r>
      <w:r w:rsidR="00CD092B">
        <w:t xml:space="preserve"> </w:t>
      </w:r>
      <w:r>
        <w:t>opportunity to, consistent with procedural fairness, assess his or her position. In light of these</w:t>
      </w:r>
      <w:r w:rsidR="00CD092B">
        <w:t xml:space="preserve"> </w:t>
      </w:r>
      <w:r>
        <w:t>considerations the VRB may adjourn a hearing under review. More information on the Board’s</w:t>
      </w:r>
      <w:r w:rsidR="00CD092B">
        <w:t xml:space="preserve"> </w:t>
      </w:r>
      <w:r>
        <w:t>adjournments can be found under Outcome 3.</w:t>
      </w:r>
    </w:p>
    <w:p w:rsidR="004F6739" w:rsidRDefault="00B22CAF" w:rsidP="00B22CAF">
      <w:r>
        <w:t>The outcomes of the published decisions under the VEA and determinations under the MRCA</w:t>
      </w:r>
      <w:r w:rsidR="00CD092B">
        <w:t xml:space="preserve"> </w:t>
      </w:r>
      <w:r>
        <w:t>are shown in Table 2 and Graphs 2.1 to 2.4. In this table ‘disability matters’ applies to applications</w:t>
      </w:r>
      <w:r w:rsidR="00CD092B">
        <w:t xml:space="preserve"> </w:t>
      </w:r>
      <w:r>
        <w:t>under the VEA, while its equivalent under the MRCA is ‘liability’; ‘assessment matters’ applies to</w:t>
      </w:r>
      <w:r w:rsidR="00CD092B">
        <w:t xml:space="preserve"> </w:t>
      </w:r>
      <w:r>
        <w:t>applications under the VEA, while under the MRCA matters other than liability, such as permanent</w:t>
      </w:r>
      <w:r w:rsidR="00CD092B">
        <w:t xml:space="preserve"> </w:t>
      </w:r>
      <w:r>
        <w:t>impairment</w:t>
      </w:r>
      <w:r w:rsidR="001D1DCA">
        <w:fldChar w:fldCharType="begin"/>
      </w:r>
      <w:r w:rsidR="001D1DCA">
        <w:instrText xml:space="preserve"> XE "</w:instrText>
      </w:r>
      <w:r w:rsidR="001D1DCA" w:rsidRPr="003924C2">
        <w:instrText>permanent impairment</w:instrText>
      </w:r>
      <w:r w:rsidR="001D1DCA">
        <w:instrText xml:space="preserve">" </w:instrText>
      </w:r>
      <w:r w:rsidR="001D1DCA">
        <w:fldChar w:fldCharType="end"/>
      </w:r>
      <w:r>
        <w:t>, treatment</w:t>
      </w:r>
      <w:r w:rsidR="004A74AE">
        <w:fldChar w:fldCharType="begin"/>
      </w:r>
      <w:r w:rsidR="004A74AE">
        <w:instrText xml:space="preserve"> XE "</w:instrText>
      </w:r>
      <w:r w:rsidR="004A74AE" w:rsidRPr="002D7689">
        <w:instrText>treatment</w:instrText>
      </w:r>
      <w:r w:rsidR="004A74AE">
        <w:instrText xml:space="preserve">" </w:instrText>
      </w:r>
      <w:r w:rsidR="004A74AE">
        <w:fldChar w:fldCharType="end"/>
      </w:r>
      <w:r>
        <w:t xml:space="preserve"> and rehabilitation</w:t>
      </w:r>
      <w:r w:rsidR="0005789C">
        <w:fldChar w:fldCharType="begin"/>
      </w:r>
      <w:r w:rsidR="0005789C">
        <w:instrText xml:space="preserve"> XE "</w:instrText>
      </w:r>
      <w:r w:rsidR="0005789C" w:rsidRPr="002D7689">
        <w:instrText>rehabilitation</w:instrText>
      </w:r>
      <w:r w:rsidR="0005789C">
        <w:instrText xml:space="preserve">" </w:instrText>
      </w:r>
      <w:r w:rsidR="0005789C">
        <w:fldChar w:fldCharType="end"/>
      </w:r>
      <w:r>
        <w:t xml:space="preserve"> are referred to as ‘compensation’.</w:t>
      </w:r>
    </w:p>
    <w:tbl>
      <w:tblPr>
        <w:tblW w:w="5000" w:type="pct"/>
        <w:tblBorders>
          <w:top w:val="single" w:sz="4" w:space="0" w:color="A39892"/>
          <w:left w:val="single" w:sz="4" w:space="0" w:color="A39892"/>
          <w:bottom w:val="single" w:sz="4" w:space="0" w:color="A39892"/>
          <w:right w:val="single" w:sz="4" w:space="0" w:color="A39892"/>
          <w:insideH w:val="single" w:sz="4" w:space="0" w:color="A39892"/>
          <w:insideV w:val="single" w:sz="4" w:space="0" w:color="A39892"/>
        </w:tblBorders>
        <w:tblLayout w:type="fixed"/>
        <w:tblCellMar>
          <w:left w:w="115" w:type="dxa"/>
          <w:right w:w="115" w:type="dxa"/>
        </w:tblCellMar>
        <w:tblLook w:val="0000" w:firstRow="0" w:lastRow="0" w:firstColumn="0" w:lastColumn="0" w:noHBand="0" w:noVBand="0"/>
      </w:tblPr>
      <w:tblGrid>
        <w:gridCol w:w="1915"/>
        <w:gridCol w:w="990"/>
        <w:gridCol w:w="840"/>
        <w:gridCol w:w="841"/>
        <w:gridCol w:w="840"/>
        <w:gridCol w:w="841"/>
        <w:gridCol w:w="840"/>
        <w:gridCol w:w="841"/>
      </w:tblGrid>
      <w:tr w:rsidR="00797E5C" w:rsidRPr="00797E5C" w:rsidTr="00797E5C">
        <w:trPr>
          <w:cantSplit/>
          <w:tblHeader/>
        </w:trPr>
        <w:tc>
          <w:tcPr>
            <w:tcW w:w="7948" w:type="dxa"/>
            <w:gridSpan w:val="8"/>
            <w:tcBorders>
              <w:bottom w:val="single" w:sz="4" w:space="0" w:color="A39892"/>
            </w:tcBorders>
            <w:shd w:val="clear" w:color="auto" w:fill="A39892"/>
          </w:tcPr>
          <w:p w:rsidR="00797E5C" w:rsidRPr="00797E5C" w:rsidRDefault="00797E5C" w:rsidP="00250A2F">
            <w:pPr>
              <w:pStyle w:val="TableName"/>
              <w:spacing w:before="30" w:after="30"/>
              <w:rPr>
                <w:rFonts w:ascii="Times New Roman" w:hAnsi="Times New Roman"/>
                <w:sz w:val="24"/>
                <w:szCs w:val="24"/>
              </w:rPr>
            </w:pPr>
            <w:r w:rsidRPr="00797E5C">
              <w:lastRenderedPageBreak/>
              <w:t>Table 2: Outcome of published decisions and determinations (set aside and affirmed)</w:t>
            </w:r>
          </w:p>
        </w:tc>
      </w:tr>
      <w:tr w:rsidR="00797E5C" w:rsidRPr="00797E5C" w:rsidTr="00250A2F">
        <w:trPr>
          <w:cantSplit/>
        </w:trPr>
        <w:tc>
          <w:tcPr>
            <w:tcW w:w="1915" w:type="dxa"/>
            <w:shd w:val="clear" w:color="auto" w:fill="C6BDB6"/>
          </w:tcPr>
          <w:p w:rsidR="00797E5C" w:rsidRPr="00797E5C" w:rsidRDefault="00797E5C" w:rsidP="00250A2F">
            <w:pPr>
              <w:pStyle w:val="TableText"/>
              <w:spacing w:before="30" w:after="30"/>
              <w:rPr>
                <w:rFonts w:ascii="Times New Roman" w:hAnsi="Times New Roman"/>
                <w:sz w:val="24"/>
                <w:szCs w:val="24"/>
              </w:rPr>
            </w:pPr>
          </w:p>
        </w:tc>
        <w:tc>
          <w:tcPr>
            <w:tcW w:w="990" w:type="dxa"/>
            <w:shd w:val="clear" w:color="auto" w:fill="C6BDB6"/>
          </w:tcPr>
          <w:p w:rsidR="00797E5C" w:rsidRPr="00797E5C" w:rsidRDefault="00797E5C" w:rsidP="00250A2F">
            <w:pPr>
              <w:pStyle w:val="TableText"/>
              <w:spacing w:before="30" w:after="30"/>
              <w:rPr>
                <w:rFonts w:ascii="Times New Roman" w:hAnsi="Times New Roman"/>
                <w:sz w:val="24"/>
                <w:szCs w:val="24"/>
              </w:rPr>
            </w:pPr>
            <w:r w:rsidRPr="00797E5C">
              <w:t>Year</w:t>
            </w:r>
          </w:p>
        </w:tc>
        <w:tc>
          <w:tcPr>
            <w:tcW w:w="840" w:type="dxa"/>
            <w:shd w:val="clear" w:color="auto" w:fill="C6BDB6"/>
          </w:tcPr>
          <w:p w:rsidR="00797E5C" w:rsidRPr="00797E5C" w:rsidRDefault="00797E5C" w:rsidP="00250A2F">
            <w:pPr>
              <w:pStyle w:val="TableText"/>
              <w:spacing w:before="30" w:after="30"/>
              <w:rPr>
                <w:rFonts w:ascii="Times New Roman" w:hAnsi="Times New Roman"/>
                <w:sz w:val="24"/>
                <w:szCs w:val="24"/>
              </w:rPr>
            </w:pPr>
            <w:r w:rsidRPr="00797E5C">
              <w:t>NSW</w:t>
            </w:r>
          </w:p>
        </w:tc>
        <w:tc>
          <w:tcPr>
            <w:tcW w:w="841" w:type="dxa"/>
            <w:shd w:val="clear" w:color="auto" w:fill="C6BDB6"/>
          </w:tcPr>
          <w:p w:rsidR="00797E5C" w:rsidRPr="00797E5C" w:rsidRDefault="00797E5C" w:rsidP="00250A2F">
            <w:pPr>
              <w:pStyle w:val="TableText"/>
              <w:spacing w:before="30" w:after="30"/>
              <w:rPr>
                <w:rFonts w:ascii="Times New Roman" w:hAnsi="Times New Roman"/>
                <w:sz w:val="24"/>
                <w:szCs w:val="24"/>
              </w:rPr>
            </w:pPr>
            <w:r w:rsidRPr="00797E5C">
              <w:t>VIC</w:t>
            </w:r>
          </w:p>
        </w:tc>
        <w:tc>
          <w:tcPr>
            <w:tcW w:w="840" w:type="dxa"/>
            <w:shd w:val="clear" w:color="auto" w:fill="C6BDB6"/>
          </w:tcPr>
          <w:p w:rsidR="00797E5C" w:rsidRPr="00797E5C" w:rsidRDefault="00797E5C" w:rsidP="00250A2F">
            <w:pPr>
              <w:pStyle w:val="TableText"/>
              <w:spacing w:before="30" w:after="30"/>
              <w:rPr>
                <w:rFonts w:ascii="Times New Roman" w:hAnsi="Times New Roman"/>
                <w:sz w:val="24"/>
                <w:szCs w:val="24"/>
              </w:rPr>
            </w:pPr>
            <w:r w:rsidRPr="00797E5C">
              <w:t>QLD</w:t>
            </w:r>
          </w:p>
        </w:tc>
        <w:tc>
          <w:tcPr>
            <w:tcW w:w="841" w:type="dxa"/>
            <w:shd w:val="clear" w:color="auto" w:fill="C6BDB6"/>
          </w:tcPr>
          <w:p w:rsidR="00797E5C" w:rsidRPr="00797E5C" w:rsidRDefault="00797E5C" w:rsidP="00250A2F">
            <w:pPr>
              <w:pStyle w:val="TableText"/>
              <w:spacing w:before="30" w:after="30"/>
              <w:rPr>
                <w:rFonts w:ascii="Times New Roman" w:hAnsi="Times New Roman"/>
                <w:sz w:val="24"/>
                <w:szCs w:val="24"/>
              </w:rPr>
            </w:pPr>
            <w:r w:rsidRPr="00797E5C">
              <w:t>SA</w:t>
            </w:r>
          </w:p>
        </w:tc>
        <w:tc>
          <w:tcPr>
            <w:tcW w:w="840" w:type="dxa"/>
            <w:shd w:val="clear" w:color="auto" w:fill="C6BDB6"/>
          </w:tcPr>
          <w:p w:rsidR="00797E5C" w:rsidRPr="00797E5C" w:rsidRDefault="00797E5C" w:rsidP="00250A2F">
            <w:pPr>
              <w:pStyle w:val="TableText"/>
              <w:spacing w:before="30" w:after="30"/>
              <w:rPr>
                <w:rFonts w:ascii="Times New Roman" w:hAnsi="Times New Roman"/>
                <w:sz w:val="24"/>
                <w:szCs w:val="24"/>
              </w:rPr>
            </w:pPr>
            <w:r w:rsidRPr="00797E5C">
              <w:t>WA</w:t>
            </w:r>
          </w:p>
        </w:tc>
        <w:tc>
          <w:tcPr>
            <w:tcW w:w="841" w:type="dxa"/>
            <w:shd w:val="clear" w:color="auto" w:fill="C6BDB6"/>
          </w:tcPr>
          <w:p w:rsidR="00797E5C" w:rsidRPr="00797E5C" w:rsidRDefault="00797E5C" w:rsidP="00250A2F">
            <w:pPr>
              <w:pStyle w:val="TableText"/>
              <w:spacing w:before="30" w:after="30"/>
              <w:rPr>
                <w:rFonts w:ascii="Times New Roman" w:hAnsi="Times New Roman"/>
                <w:sz w:val="24"/>
                <w:szCs w:val="24"/>
              </w:rPr>
            </w:pPr>
            <w:r w:rsidRPr="00797E5C">
              <w:t>AUST</w:t>
            </w:r>
          </w:p>
        </w:tc>
      </w:tr>
      <w:tr w:rsidR="00797E5C" w:rsidRPr="00797E5C" w:rsidTr="00250A2F">
        <w:trPr>
          <w:cantSplit/>
        </w:trPr>
        <w:tc>
          <w:tcPr>
            <w:tcW w:w="1915" w:type="dxa"/>
            <w:vMerge w:val="restart"/>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Total death</w:t>
            </w:r>
          </w:p>
        </w:tc>
        <w:tc>
          <w:tcPr>
            <w:tcW w:w="99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2017–18</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53</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17</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32</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9</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7</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118</w:t>
            </w:r>
          </w:p>
        </w:tc>
      </w:tr>
      <w:tr w:rsidR="00797E5C" w:rsidRPr="00797E5C" w:rsidTr="00250A2F">
        <w:trPr>
          <w:cantSplit/>
        </w:trPr>
        <w:tc>
          <w:tcPr>
            <w:tcW w:w="1915" w:type="dxa"/>
            <w:vMerge/>
            <w:shd w:val="clear" w:color="auto" w:fill="auto"/>
          </w:tcPr>
          <w:p w:rsidR="00797E5C" w:rsidRPr="00797E5C" w:rsidRDefault="00797E5C" w:rsidP="00250A2F">
            <w:pPr>
              <w:pStyle w:val="TableText"/>
              <w:spacing w:before="30" w:after="30"/>
              <w:rPr>
                <w:rFonts w:ascii="Times New Roman" w:hAnsi="Times New Roman"/>
                <w:sz w:val="24"/>
                <w:szCs w:val="24"/>
              </w:rPr>
            </w:pPr>
          </w:p>
        </w:tc>
        <w:tc>
          <w:tcPr>
            <w:tcW w:w="99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2016–17</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105</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28</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47</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12</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16</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208</w:t>
            </w:r>
          </w:p>
        </w:tc>
      </w:tr>
      <w:tr w:rsidR="00797E5C" w:rsidRPr="00797E5C" w:rsidTr="00250A2F">
        <w:trPr>
          <w:cantSplit/>
        </w:trPr>
        <w:tc>
          <w:tcPr>
            <w:tcW w:w="1915" w:type="dxa"/>
            <w:vMerge w:val="restart"/>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Set aside death</w:t>
            </w:r>
          </w:p>
        </w:tc>
        <w:tc>
          <w:tcPr>
            <w:tcW w:w="990" w:type="dxa"/>
            <w:vMerge w:val="restart"/>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2017–18</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46</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9</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9</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5</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4</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73</w:t>
            </w:r>
          </w:p>
        </w:tc>
      </w:tr>
      <w:tr w:rsidR="00797E5C" w:rsidRPr="00797E5C" w:rsidTr="00250A2F">
        <w:trPr>
          <w:cantSplit/>
        </w:trPr>
        <w:tc>
          <w:tcPr>
            <w:tcW w:w="1915" w:type="dxa"/>
            <w:vMerge/>
            <w:shd w:val="clear" w:color="auto" w:fill="auto"/>
          </w:tcPr>
          <w:p w:rsidR="00797E5C" w:rsidRPr="00797E5C" w:rsidRDefault="00797E5C" w:rsidP="00250A2F">
            <w:pPr>
              <w:pStyle w:val="TableText"/>
              <w:spacing w:before="30" w:after="30"/>
              <w:rPr>
                <w:rFonts w:ascii="Times New Roman" w:hAnsi="Times New Roman"/>
                <w:sz w:val="24"/>
                <w:szCs w:val="24"/>
              </w:rPr>
            </w:pPr>
          </w:p>
        </w:tc>
        <w:tc>
          <w:tcPr>
            <w:tcW w:w="990" w:type="dxa"/>
            <w:vMerge/>
            <w:shd w:val="clear" w:color="auto" w:fill="auto"/>
          </w:tcPr>
          <w:p w:rsidR="00797E5C" w:rsidRPr="00797E5C" w:rsidRDefault="00797E5C" w:rsidP="00250A2F">
            <w:pPr>
              <w:pStyle w:val="TableText"/>
              <w:spacing w:before="30" w:after="30"/>
              <w:rPr>
                <w:rFonts w:ascii="Times New Roman" w:hAnsi="Times New Roman"/>
                <w:sz w:val="24"/>
                <w:szCs w:val="24"/>
              </w:rPr>
            </w:pP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86.8%</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52.9%</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28.1%</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55.6%</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57.1%</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61.9%</w:t>
            </w:r>
          </w:p>
        </w:tc>
      </w:tr>
      <w:tr w:rsidR="00797E5C" w:rsidRPr="00797E5C" w:rsidTr="00250A2F">
        <w:trPr>
          <w:cantSplit/>
        </w:trPr>
        <w:tc>
          <w:tcPr>
            <w:tcW w:w="1915" w:type="dxa"/>
            <w:vMerge/>
            <w:shd w:val="clear" w:color="auto" w:fill="auto"/>
          </w:tcPr>
          <w:p w:rsidR="00797E5C" w:rsidRPr="00797E5C" w:rsidRDefault="00797E5C" w:rsidP="00250A2F">
            <w:pPr>
              <w:pStyle w:val="TableText"/>
              <w:spacing w:before="30" w:after="30"/>
              <w:rPr>
                <w:rFonts w:ascii="Times New Roman" w:hAnsi="Times New Roman"/>
                <w:sz w:val="24"/>
                <w:szCs w:val="24"/>
              </w:rPr>
            </w:pPr>
          </w:p>
        </w:tc>
        <w:tc>
          <w:tcPr>
            <w:tcW w:w="990" w:type="dxa"/>
            <w:vMerge w:val="restart"/>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2016–17</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92</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14</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16</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8</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10</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140</w:t>
            </w:r>
          </w:p>
        </w:tc>
      </w:tr>
      <w:tr w:rsidR="00797E5C" w:rsidRPr="00797E5C" w:rsidTr="00250A2F">
        <w:trPr>
          <w:cantSplit/>
        </w:trPr>
        <w:tc>
          <w:tcPr>
            <w:tcW w:w="1915" w:type="dxa"/>
            <w:vMerge/>
            <w:shd w:val="clear" w:color="auto" w:fill="auto"/>
          </w:tcPr>
          <w:p w:rsidR="00797E5C" w:rsidRPr="00797E5C" w:rsidRDefault="00797E5C" w:rsidP="00250A2F">
            <w:pPr>
              <w:pStyle w:val="TableText"/>
              <w:spacing w:before="30" w:after="30"/>
              <w:rPr>
                <w:rFonts w:ascii="Times New Roman" w:hAnsi="Times New Roman"/>
                <w:sz w:val="24"/>
                <w:szCs w:val="24"/>
              </w:rPr>
            </w:pPr>
          </w:p>
        </w:tc>
        <w:tc>
          <w:tcPr>
            <w:tcW w:w="990" w:type="dxa"/>
            <w:vMerge/>
            <w:shd w:val="clear" w:color="auto" w:fill="auto"/>
          </w:tcPr>
          <w:p w:rsidR="00797E5C" w:rsidRPr="00797E5C" w:rsidRDefault="00797E5C" w:rsidP="00250A2F">
            <w:pPr>
              <w:pStyle w:val="TableText"/>
              <w:spacing w:before="30" w:after="30"/>
              <w:rPr>
                <w:rFonts w:ascii="Times New Roman" w:hAnsi="Times New Roman"/>
                <w:sz w:val="24"/>
                <w:szCs w:val="24"/>
              </w:rPr>
            </w:pP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87.6%</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50%</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34%</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66.7%</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62.5%</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67.3%</w:t>
            </w:r>
          </w:p>
        </w:tc>
      </w:tr>
      <w:tr w:rsidR="00797E5C" w:rsidRPr="00797E5C" w:rsidTr="00250A2F">
        <w:trPr>
          <w:cantSplit/>
        </w:trPr>
        <w:tc>
          <w:tcPr>
            <w:tcW w:w="1915" w:type="dxa"/>
            <w:vMerge w:val="restart"/>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Affirmed death</w:t>
            </w:r>
          </w:p>
        </w:tc>
        <w:tc>
          <w:tcPr>
            <w:tcW w:w="990" w:type="dxa"/>
            <w:vMerge w:val="restart"/>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2017–18</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7</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8</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23</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4</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3</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45</w:t>
            </w:r>
          </w:p>
        </w:tc>
      </w:tr>
      <w:tr w:rsidR="00797E5C" w:rsidRPr="00797E5C" w:rsidTr="00250A2F">
        <w:trPr>
          <w:cantSplit/>
        </w:trPr>
        <w:tc>
          <w:tcPr>
            <w:tcW w:w="1915" w:type="dxa"/>
            <w:vMerge/>
            <w:shd w:val="clear" w:color="auto" w:fill="auto"/>
          </w:tcPr>
          <w:p w:rsidR="00797E5C" w:rsidRPr="00797E5C" w:rsidRDefault="00797E5C" w:rsidP="00250A2F">
            <w:pPr>
              <w:pStyle w:val="TableText"/>
              <w:spacing w:before="30" w:after="30"/>
              <w:rPr>
                <w:rFonts w:ascii="Times New Roman" w:hAnsi="Times New Roman"/>
                <w:sz w:val="24"/>
                <w:szCs w:val="24"/>
              </w:rPr>
            </w:pPr>
          </w:p>
        </w:tc>
        <w:tc>
          <w:tcPr>
            <w:tcW w:w="990" w:type="dxa"/>
            <w:vMerge/>
            <w:shd w:val="clear" w:color="auto" w:fill="auto"/>
          </w:tcPr>
          <w:p w:rsidR="00797E5C" w:rsidRPr="00797E5C" w:rsidRDefault="00797E5C" w:rsidP="00250A2F">
            <w:pPr>
              <w:pStyle w:val="TableText"/>
              <w:spacing w:before="30" w:after="30"/>
              <w:rPr>
                <w:rFonts w:ascii="Times New Roman" w:hAnsi="Times New Roman"/>
                <w:sz w:val="24"/>
                <w:szCs w:val="24"/>
              </w:rPr>
            </w:pP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13.2%</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47.1%</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71.9%</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44.4%</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42.9%</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38.1%</w:t>
            </w:r>
          </w:p>
        </w:tc>
      </w:tr>
      <w:tr w:rsidR="00797E5C" w:rsidRPr="00797E5C" w:rsidTr="00250A2F">
        <w:trPr>
          <w:cantSplit/>
        </w:trPr>
        <w:tc>
          <w:tcPr>
            <w:tcW w:w="1915" w:type="dxa"/>
            <w:vMerge/>
            <w:shd w:val="clear" w:color="auto" w:fill="auto"/>
          </w:tcPr>
          <w:p w:rsidR="00797E5C" w:rsidRPr="00797E5C" w:rsidRDefault="00797E5C" w:rsidP="00250A2F">
            <w:pPr>
              <w:pStyle w:val="TableText"/>
              <w:spacing w:before="30" w:after="30"/>
              <w:rPr>
                <w:rFonts w:ascii="Times New Roman" w:hAnsi="Times New Roman"/>
                <w:sz w:val="24"/>
                <w:szCs w:val="24"/>
              </w:rPr>
            </w:pPr>
          </w:p>
        </w:tc>
        <w:tc>
          <w:tcPr>
            <w:tcW w:w="990" w:type="dxa"/>
            <w:vMerge w:val="restart"/>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2016–17</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13</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14</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31</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4</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6</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68</w:t>
            </w:r>
          </w:p>
        </w:tc>
      </w:tr>
      <w:tr w:rsidR="00797E5C" w:rsidRPr="00797E5C" w:rsidTr="00250A2F">
        <w:trPr>
          <w:cantSplit/>
        </w:trPr>
        <w:tc>
          <w:tcPr>
            <w:tcW w:w="1915" w:type="dxa"/>
            <w:vMerge/>
            <w:shd w:val="clear" w:color="auto" w:fill="auto"/>
          </w:tcPr>
          <w:p w:rsidR="00797E5C" w:rsidRPr="00797E5C" w:rsidRDefault="00797E5C" w:rsidP="00250A2F">
            <w:pPr>
              <w:pStyle w:val="TableText"/>
              <w:spacing w:before="30" w:after="30"/>
              <w:rPr>
                <w:rFonts w:ascii="Times New Roman" w:hAnsi="Times New Roman"/>
                <w:sz w:val="24"/>
                <w:szCs w:val="24"/>
              </w:rPr>
            </w:pPr>
          </w:p>
        </w:tc>
        <w:tc>
          <w:tcPr>
            <w:tcW w:w="990" w:type="dxa"/>
            <w:vMerge/>
            <w:shd w:val="clear" w:color="auto" w:fill="auto"/>
          </w:tcPr>
          <w:p w:rsidR="00797E5C" w:rsidRPr="00797E5C" w:rsidRDefault="00797E5C" w:rsidP="00250A2F">
            <w:pPr>
              <w:pStyle w:val="TableText"/>
              <w:spacing w:before="30" w:after="30"/>
              <w:rPr>
                <w:rFonts w:ascii="Times New Roman" w:hAnsi="Times New Roman"/>
                <w:sz w:val="24"/>
                <w:szCs w:val="24"/>
              </w:rPr>
            </w:pP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12.4%</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50%</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66%</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33.3%</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37.5%</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32.7%</w:t>
            </w:r>
          </w:p>
        </w:tc>
      </w:tr>
      <w:tr w:rsidR="00797E5C" w:rsidRPr="00797E5C" w:rsidTr="00250A2F">
        <w:trPr>
          <w:cantSplit/>
        </w:trPr>
        <w:tc>
          <w:tcPr>
            <w:tcW w:w="1915" w:type="dxa"/>
            <w:vMerge w:val="restart"/>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Total disability/liability</w:t>
            </w:r>
          </w:p>
        </w:tc>
        <w:tc>
          <w:tcPr>
            <w:tcW w:w="99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2017–18</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518</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233</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454</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101</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130</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1436</w:t>
            </w:r>
          </w:p>
        </w:tc>
      </w:tr>
      <w:tr w:rsidR="00797E5C" w:rsidRPr="00797E5C" w:rsidTr="00250A2F">
        <w:trPr>
          <w:cantSplit/>
        </w:trPr>
        <w:tc>
          <w:tcPr>
            <w:tcW w:w="1915" w:type="dxa"/>
            <w:vMerge/>
            <w:shd w:val="clear" w:color="auto" w:fill="auto"/>
          </w:tcPr>
          <w:p w:rsidR="00797E5C" w:rsidRPr="00797E5C" w:rsidRDefault="00797E5C" w:rsidP="00250A2F">
            <w:pPr>
              <w:pStyle w:val="TableText"/>
              <w:spacing w:before="30" w:after="30"/>
              <w:rPr>
                <w:rFonts w:ascii="Times New Roman" w:hAnsi="Times New Roman"/>
                <w:sz w:val="24"/>
                <w:szCs w:val="24"/>
              </w:rPr>
            </w:pPr>
          </w:p>
        </w:tc>
        <w:tc>
          <w:tcPr>
            <w:tcW w:w="99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2016–17</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569</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317</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362</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128</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148</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1524</w:t>
            </w:r>
          </w:p>
        </w:tc>
      </w:tr>
      <w:tr w:rsidR="00797E5C" w:rsidRPr="00797E5C" w:rsidTr="00250A2F">
        <w:trPr>
          <w:cantSplit/>
        </w:trPr>
        <w:tc>
          <w:tcPr>
            <w:tcW w:w="1915" w:type="dxa"/>
            <w:vMerge w:val="restart"/>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Set aside disability/</w:t>
            </w:r>
            <w:r w:rsidR="00250A2F">
              <w:t xml:space="preserve"> </w:t>
            </w:r>
            <w:r w:rsidRPr="00797E5C">
              <w:t>liability</w:t>
            </w:r>
          </w:p>
        </w:tc>
        <w:tc>
          <w:tcPr>
            <w:tcW w:w="990" w:type="dxa"/>
            <w:vMerge w:val="restart"/>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2017–18</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367</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131</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155</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55</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61</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769</w:t>
            </w:r>
          </w:p>
        </w:tc>
      </w:tr>
      <w:tr w:rsidR="00797E5C" w:rsidRPr="00797E5C" w:rsidTr="00250A2F">
        <w:trPr>
          <w:cantSplit/>
        </w:trPr>
        <w:tc>
          <w:tcPr>
            <w:tcW w:w="1915" w:type="dxa"/>
            <w:vMerge/>
            <w:shd w:val="clear" w:color="auto" w:fill="auto"/>
          </w:tcPr>
          <w:p w:rsidR="00797E5C" w:rsidRPr="00797E5C" w:rsidRDefault="00797E5C" w:rsidP="00250A2F">
            <w:pPr>
              <w:pStyle w:val="TableText"/>
              <w:spacing w:before="30" w:after="30"/>
              <w:rPr>
                <w:rFonts w:ascii="Times New Roman" w:hAnsi="Times New Roman"/>
                <w:sz w:val="24"/>
                <w:szCs w:val="24"/>
              </w:rPr>
            </w:pPr>
          </w:p>
        </w:tc>
        <w:tc>
          <w:tcPr>
            <w:tcW w:w="990" w:type="dxa"/>
            <w:vMerge/>
            <w:shd w:val="clear" w:color="auto" w:fill="auto"/>
          </w:tcPr>
          <w:p w:rsidR="00797E5C" w:rsidRPr="00797E5C" w:rsidRDefault="00797E5C" w:rsidP="00250A2F">
            <w:pPr>
              <w:pStyle w:val="TableText"/>
              <w:spacing w:before="30" w:after="30"/>
              <w:rPr>
                <w:rFonts w:ascii="Times New Roman" w:hAnsi="Times New Roman"/>
                <w:sz w:val="24"/>
                <w:szCs w:val="24"/>
              </w:rPr>
            </w:pP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70.8%</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56.2%</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34.1%</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54.5%</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46.9%</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53.6%</w:t>
            </w:r>
          </w:p>
        </w:tc>
      </w:tr>
      <w:tr w:rsidR="00797E5C" w:rsidRPr="00797E5C" w:rsidTr="00250A2F">
        <w:trPr>
          <w:cantSplit/>
        </w:trPr>
        <w:tc>
          <w:tcPr>
            <w:tcW w:w="1915" w:type="dxa"/>
            <w:vMerge/>
            <w:shd w:val="clear" w:color="auto" w:fill="auto"/>
          </w:tcPr>
          <w:p w:rsidR="00797E5C" w:rsidRPr="00797E5C" w:rsidRDefault="00797E5C" w:rsidP="00250A2F">
            <w:pPr>
              <w:pStyle w:val="TableText"/>
              <w:spacing w:before="30" w:after="30"/>
              <w:rPr>
                <w:rFonts w:ascii="Times New Roman" w:hAnsi="Times New Roman"/>
                <w:sz w:val="24"/>
                <w:szCs w:val="24"/>
              </w:rPr>
            </w:pPr>
          </w:p>
        </w:tc>
        <w:tc>
          <w:tcPr>
            <w:tcW w:w="990" w:type="dxa"/>
            <w:vMerge w:val="restart"/>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2016–17</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387</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129</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124</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66</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41</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747</w:t>
            </w:r>
          </w:p>
        </w:tc>
      </w:tr>
      <w:tr w:rsidR="00797E5C" w:rsidRPr="00797E5C" w:rsidTr="00250A2F">
        <w:trPr>
          <w:cantSplit/>
        </w:trPr>
        <w:tc>
          <w:tcPr>
            <w:tcW w:w="1915" w:type="dxa"/>
            <w:vMerge/>
            <w:shd w:val="clear" w:color="auto" w:fill="auto"/>
          </w:tcPr>
          <w:p w:rsidR="00797E5C" w:rsidRPr="00797E5C" w:rsidRDefault="00797E5C" w:rsidP="00250A2F">
            <w:pPr>
              <w:pStyle w:val="TableText"/>
              <w:spacing w:before="30" w:after="30"/>
              <w:rPr>
                <w:rFonts w:ascii="Times New Roman" w:hAnsi="Times New Roman"/>
                <w:sz w:val="24"/>
                <w:szCs w:val="24"/>
              </w:rPr>
            </w:pPr>
          </w:p>
        </w:tc>
        <w:tc>
          <w:tcPr>
            <w:tcW w:w="990" w:type="dxa"/>
            <w:vMerge/>
            <w:shd w:val="clear" w:color="auto" w:fill="auto"/>
          </w:tcPr>
          <w:p w:rsidR="00797E5C" w:rsidRPr="00797E5C" w:rsidRDefault="00797E5C" w:rsidP="00250A2F">
            <w:pPr>
              <w:pStyle w:val="TableText"/>
              <w:spacing w:before="30" w:after="30"/>
              <w:rPr>
                <w:rFonts w:ascii="Times New Roman" w:hAnsi="Times New Roman"/>
                <w:sz w:val="24"/>
                <w:szCs w:val="24"/>
              </w:rPr>
            </w:pP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68%</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40.7%</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34.3%</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51.6%</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27.7%</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49%</w:t>
            </w:r>
          </w:p>
        </w:tc>
      </w:tr>
      <w:tr w:rsidR="00797E5C" w:rsidRPr="00797E5C" w:rsidTr="00250A2F">
        <w:trPr>
          <w:cantSplit/>
        </w:trPr>
        <w:tc>
          <w:tcPr>
            <w:tcW w:w="1915" w:type="dxa"/>
            <w:vMerge w:val="restart"/>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Affirmed disability/liability</w:t>
            </w:r>
          </w:p>
        </w:tc>
        <w:tc>
          <w:tcPr>
            <w:tcW w:w="990" w:type="dxa"/>
            <w:vMerge w:val="restart"/>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2017–18</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151</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102</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299</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46</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69</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667</w:t>
            </w:r>
          </w:p>
        </w:tc>
      </w:tr>
      <w:tr w:rsidR="00797E5C" w:rsidRPr="00797E5C" w:rsidTr="00250A2F">
        <w:trPr>
          <w:cantSplit/>
        </w:trPr>
        <w:tc>
          <w:tcPr>
            <w:tcW w:w="1915" w:type="dxa"/>
            <w:vMerge/>
            <w:shd w:val="clear" w:color="auto" w:fill="auto"/>
          </w:tcPr>
          <w:p w:rsidR="00797E5C" w:rsidRPr="00797E5C" w:rsidRDefault="00797E5C" w:rsidP="00250A2F">
            <w:pPr>
              <w:pStyle w:val="TableText"/>
              <w:spacing w:before="30" w:after="30"/>
              <w:rPr>
                <w:rFonts w:ascii="Times New Roman" w:hAnsi="Times New Roman"/>
                <w:sz w:val="24"/>
                <w:szCs w:val="24"/>
              </w:rPr>
            </w:pPr>
          </w:p>
        </w:tc>
        <w:tc>
          <w:tcPr>
            <w:tcW w:w="990" w:type="dxa"/>
            <w:vMerge/>
            <w:shd w:val="clear" w:color="auto" w:fill="auto"/>
          </w:tcPr>
          <w:p w:rsidR="00797E5C" w:rsidRPr="00797E5C" w:rsidRDefault="00797E5C" w:rsidP="00250A2F">
            <w:pPr>
              <w:pStyle w:val="TableText"/>
              <w:spacing w:before="30" w:after="30"/>
              <w:rPr>
                <w:rFonts w:ascii="Times New Roman" w:hAnsi="Times New Roman"/>
                <w:sz w:val="24"/>
                <w:szCs w:val="24"/>
              </w:rPr>
            </w:pP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29.2%</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59.3%</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65.9%</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45.5%</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53.1%</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46.4%</w:t>
            </w:r>
          </w:p>
        </w:tc>
      </w:tr>
      <w:tr w:rsidR="00797E5C" w:rsidRPr="00797E5C" w:rsidTr="00250A2F">
        <w:trPr>
          <w:cantSplit/>
        </w:trPr>
        <w:tc>
          <w:tcPr>
            <w:tcW w:w="1915" w:type="dxa"/>
            <w:vMerge/>
            <w:shd w:val="clear" w:color="auto" w:fill="auto"/>
          </w:tcPr>
          <w:p w:rsidR="00797E5C" w:rsidRPr="00797E5C" w:rsidRDefault="00797E5C" w:rsidP="00250A2F">
            <w:pPr>
              <w:pStyle w:val="TableText"/>
              <w:spacing w:before="30" w:after="30"/>
              <w:rPr>
                <w:rFonts w:ascii="Times New Roman" w:hAnsi="Times New Roman"/>
                <w:sz w:val="24"/>
                <w:szCs w:val="24"/>
              </w:rPr>
            </w:pPr>
          </w:p>
        </w:tc>
        <w:tc>
          <w:tcPr>
            <w:tcW w:w="990" w:type="dxa"/>
            <w:vMerge w:val="restart"/>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2016–17</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182</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188</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238</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62</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107</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777</w:t>
            </w:r>
          </w:p>
        </w:tc>
      </w:tr>
      <w:tr w:rsidR="00797E5C" w:rsidRPr="00797E5C" w:rsidTr="00250A2F">
        <w:trPr>
          <w:cantSplit/>
        </w:trPr>
        <w:tc>
          <w:tcPr>
            <w:tcW w:w="1915" w:type="dxa"/>
            <w:vMerge/>
            <w:shd w:val="clear" w:color="auto" w:fill="auto"/>
          </w:tcPr>
          <w:p w:rsidR="00797E5C" w:rsidRPr="00797E5C" w:rsidRDefault="00797E5C" w:rsidP="00250A2F">
            <w:pPr>
              <w:pStyle w:val="TableText"/>
              <w:spacing w:before="30" w:after="30"/>
              <w:rPr>
                <w:rFonts w:ascii="Times New Roman" w:hAnsi="Times New Roman"/>
                <w:sz w:val="24"/>
                <w:szCs w:val="24"/>
              </w:rPr>
            </w:pPr>
          </w:p>
        </w:tc>
        <w:tc>
          <w:tcPr>
            <w:tcW w:w="990" w:type="dxa"/>
            <w:vMerge/>
            <w:shd w:val="clear" w:color="auto" w:fill="auto"/>
          </w:tcPr>
          <w:p w:rsidR="00797E5C" w:rsidRPr="00797E5C" w:rsidRDefault="00797E5C" w:rsidP="00250A2F">
            <w:pPr>
              <w:pStyle w:val="TableText"/>
              <w:spacing w:before="30" w:after="30"/>
              <w:rPr>
                <w:rFonts w:ascii="Times New Roman" w:hAnsi="Times New Roman"/>
                <w:sz w:val="24"/>
                <w:szCs w:val="24"/>
              </w:rPr>
            </w:pP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32%</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59.3%</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65.7%</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48.4%</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72.3%</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51%</w:t>
            </w:r>
          </w:p>
        </w:tc>
      </w:tr>
      <w:tr w:rsidR="00797E5C" w:rsidRPr="00797E5C" w:rsidTr="00250A2F">
        <w:trPr>
          <w:cantSplit/>
        </w:trPr>
        <w:tc>
          <w:tcPr>
            <w:tcW w:w="1915" w:type="dxa"/>
            <w:vMerge w:val="restart"/>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Total assessment/ compensation</w:t>
            </w:r>
          </w:p>
        </w:tc>
        <w:tc>
          <w:tcPr>
            <w:tcW w:w="99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2017–18</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292</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131</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265</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65</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64</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817</w:t>
            </w:r>
          </w:p>
        </w:tc>
      </w:tr>
      <w:tr w:rsidR="00797E5C" w:rsidRPr="00797E5C" w:rsidTr="00250A2F">
        <w:trPr>
          <w:cantSplit/>
        </w:trPr>
        <w:tc>
          <w:tcPr>
            <w:tcW w:w="1915" w:type="dxa"/>
            <w:vMerge/>
            <w:shd w:val="clear" w:color="auto" w:fill="auto"/>
          </w:tcPr>
          <w:p w:rsidR="00797E5C" w:rsidRPr="00797E5C" w:rsidRDefault="00797E5C" w:rsidP="00250A2F">
            <w:pPr>
              <w:pStyle w:val="TableText"/>
              <w:spacing w:before="30" w:after="30"/>
              <w:rPr>
                <w:rFonts w:ascii="Times New Roman" w:hAnsi="Times New Roman"/>
                <w:sz w:val="24"/>
                <w:szCs w:val="24"/>
              </w:rPr>
            </w:pPr>
          </w:p>
        </w:tc>
        <w:tc>
          <w:tcPr>
            <w:tcW w:w="99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2016–17</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266</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90</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194</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43</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32</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625</w:t>
            </w:r>
          </w:p>
        </w:tc>
      </w:tr>
      <w:tr w:rsidR="00797E5C" w:rsidRPr="00797E5C" w:rsidTr="00250A2F">
        <w:trPr>
          <w:cantSplit/>
        </w:trPr>
        <w:tc>
          <w:tcPr>
            <w:tcW w:w="1915" w:type="dxa"/>
            <w:vMerge w:val="restart"/>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Set aside assessment/ compensation</w:t>
            </w:r>
          </w:p>
        </w:tc>
        <w:tc>
          <w:tcPr>
            <w:tcW w:w="990" w:type="dxa"/>
            <w:vMerge w:val="restart"/>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2017–18</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224</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108</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156</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45</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42</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575</w:t>
            </w:r>
          </w:p>
        </w:tc>
      </w:tr>
      <w:tr w:rsidR="00797E5C" w:rsidRPr="00797E5C" w:rsidTr="00250A2F">
        <w:trPr>
          <w:cantSplit/>
        </w:trPr>
        <w:tc>
          <w:tcPr>
            <w:tcW w:w="1915" w:type="dxa"/>
            <w:vMerge/>
            <w:shd w:val="clear" w:color="auto" w:fill="auto"/>
          </w:tcPr>
          <w:p w:rsidR="00797E5C" w:rsidRPr="00797E5C" w:rsidRDefault="00797E5C" w:rsidP="00250A2F">
            <w:pPr>
              <w:pStyle w:val="TableText"/>
              <w:spacing w:before="30" w:after="30"/>
              <w:rPr>
                <w:rFonts w:ascii="Times New Roman" w:hAnsi="Times New Roman"/>
                <w:sz w:val="24"/>
                <w:szCs w:val="24"/>
              </w:rPr>
            </w:pPr>
          </w:p>
        </w:tc>
        <w:tc>
          <w:tcPr>
            <w:tcW w:w="990" w:type="dxa"/>
            <w:vMerge/>
            <w:shd w:val="clear" w:color="auto" w:fill="auto"/>
          </w:tcPr>
          <w:p w:rsidR="00797E5C" w:rsidRPr="00797E5C" w:rsidRDefault="00797E5C" w:rsidP="00250A2F">
            <w:pPr>
              <w:pStyle w:val="TableText"/>
              <w:spacing w:before="30" w:after="30"/>
              <w:rPr>
                <w:rFonts w:ascii="Times New Roman" w:hAnsi="Times New Roman"/>
                <w:sz w:val="24"/>
                <w:szCs w:val="24"/>
              </w:rPr>
            </w:pP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76.7%</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82.4%</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58.9%</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69.2%</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65.6%</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70.4%</w:t>
            </w:r>
          </w:p>
        </w:tc>
      </w:tr>
      <w:tr w:rsidR="00797E5C" w:rsidRPr="00797E5C" w:rsidTr="00250A2F">
        <w:trPr>
          <w:cantSplit/>
        </w:trPr>
        <w:tc>
          <w:tcPr>
            <w:tcW w:w="1915" w:type="dxa"/>
            <w:vMerge/>
            <w:shd w:val="clear" w:color="auto" w:fill="auto"/>
          </w:tcPr>
          <w:p w:rsidR="00797E5C" w:rsidRPr="00797E5C" w:rsidRDefault="00797E5C" w:rsidP="00250A2F">
            <w:pPr>
              <w:pStyle w:val="TableText"/>
              <w:spacing w:before="30" w:after="30"/>
              <w:rPr>
                <w:rFonts w:ascii="Times New Roman" w:hAnsi="Times New Roman"/>
                <w:sz w:val="24"/>
                <w:szCs w:val="24"/>
              </w:rPr>
            </w:pPr>
          </w:p>
        </w:tc>
        <w:tc>
          <w:tcPr>
            <w:tcW w:w="990" w:type="dxa"/>
            <w:vMerge w:val="restart"/>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2016–17</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194</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44</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101</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24</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14</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377</w:t>
            </w:r>
          </w:p>
        </w:tc>
      </w:tr>
      <w:tr w:rsidR="00797E5C" w:rsidRPr="00797E5C" w:rsidTr="00250A2F">
        <w:trPr>
          <w:cantSplit/>
        </w:trPr>
        <w:tc>
          <w:tcPr>
            <w:tcW w:w="1915" w:type="dxa"/>
            <w:vMerge/>
            <w:shd w:val="clear" w:color="auto" w:fill="auto"/>
          </w:tcPr>
          <w:p w:rsidR="00797E5C" w:rsidRPr="00797E5C" w:rsidRDefault="00797E5C" w:rsidP="00250A2F">
            <w:pPr>
              <w:pStyle w:val="TableText"/>
              <w:spacing w:before="30" w:after="30"/>
              <w:rPr>
                <w:rFonts w:ascii="Times New Roman" w:hAnsi="Times New Roman"/>
                <w:sz w:val="24"/>
                <w:szCs w:val="24"/>
              </w:rPr>
            </w:pPr>
          </w:p>
        </w:tc>
        <w:tc>
          <w:tcPr>
            <w:tcW w:w="990" w:type="dxa"/>
            <w:vMerge/>
            <w:shd w:val="clear" w:color="auto" w:fill="auto"/>
          </w:tcPr>
          <w:p w:rsidR="00797E5C" w:rsidRPr="00797E5C" w:rsidRDefault="00797E5C" w:rsidP="00250A2F">
            <w:pPr>
              <w:pStyle w:val="TableText"/>
              <w:spacing w:before="30" w:after="30"/>
              <w:rPr>
                <w:rFonts w:ascii="Times New Roman" w:hAnsi="Times New Roman"/>
                <w:sz w:val="24"/>
                <w:szCs w:val="24"/>
              </w:rPr>
            </w:pP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72.9%</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48.9%</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52.1%</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55.8%</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43.8%</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60.3%</w:t>
            </w:r>
          </w:p>
        </w:tc>
      </w:tr>
      <w:tr w:rsidR="00797E5C" w:rsidRPr="00797E5C" w:rsidTr="00250A2F">
        <w:trPr>
          <w:cantSplit/>
        </w:trPr>
        <w:tc>
          <w:tcPr>
            <w:tcW w:w="1915" w:type="dxa"/>
            <w:vMerge w:val="restart"/>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Affirmed assessment/ compensation</w:t>
            </w:r>
          </w:p>
        </w:tc>
        <w:tc>
          <w:tcPr>
            <w:tcW w:w="990" w:type="dxa"/>
            <w:vMerge w:val="restart"/>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2017–18</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68</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23</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109</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20</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22</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242</w:t>
            </w:r>
          </w:p>
        </w:tc>
      </w:tr>
      <w:tr w:rsidR="00797E5C" w:rsidRPr="00797E5C" w:rsidTr="00250A2F">
        <w:trPr>
          <w:cantSplit/>
        </w:trPr>
        <w:tc>
          <w:tcPr>
            <w:tcW w:w="1915" w:type="dxa"/>
            <w:vMerge/>
            <w:shd w:val="clear" w:color="auto" w:fill="auto"/>
          </w:tcPr>
          <w:p w:rsidR="00797E5C" w:rsidRPr="00797E5C" w:rsidRDefault="00797E5C" w:rsidP="00250A2F">
            <w:pPr>
              <w:pStyle w:val="TableText"/>
              <w:spacing w:before="30" w:after="30"/>
              <w:rPr>
                <w:rFonts w:ascii="Times New Roman" w:hAnsi="Times New Roman"/>
                <w:sz w:val="24"/>
                <w:szCs w:val="24"/>
              </w:rPr>
            </w:pPr>
          </w:p>
        </w:tc>
        <w:tc>
          <w:tcPr>
            <w:tcW w:w="990" w:type="dxa"/>
            <w:vMerge/>
            <w:shd w:val="clear" w:color="auto" w:fill="auto"/>
          </w:tcPr>
          <w:p w:rsidR="00797E5C" w:rsidRPr="00797E5C" w:rsidRDefault="00797E5C" w:rsidP="00250A2F">
            <w:pPr>
              <w:pStyle w:val="TableText"/>
              <w:spacing w:before="30" w:after="30"/>
              <w:rPr>
                <w:rFonts w:ascii="Times New Roman" w:hAnsi="Times New Roman"/>
                <w:sz w:val="24"/>
                <w:szCs w:val="24"/>
              </w:rPr>
            </w:pP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23.3%</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17.6%</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41.1%</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30.8%</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34.4%</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29.6%</w:t>
            </w:r>
          </w:p>
        </w:tc>
      </w:tr>
      <w:tr w:rsidR="00797E5C" w:rsidRPr="00797E5C" w:rsidTr="00250A2F">
        <w:trPr>
          <w:cantSplit/>
        </w:trPr>
        <w:tc>
          <w:tcPr>
            <w:tcW w:w="1915" w:type="dxa"/>
            <w:vMerge/>
            <w:shd w:val="clear" w:color="auto" w:fill="auto"/>
          </w:tcPr>
          <w:p w:rsidR="00797E5C" w:rsidRPr="00797E5C" w:rsidRDefault="00797E5C" w:rsidP="00250A2F">
            <w:pPr>
              <w:pStyle w:val="TableText"/>
              <w:spacing w:before="30" w:after="30"/>
              <w:rPr>
                <w:rFonts w:ascii="Times New Roman" w:hAnsi="Times New Roman"/>
                <w:sz w:val="24"/>
                <w:szCs w:val="24"/>
              </w:rPr>
            </w:pPr>
          </w:p>
        </w:tc>
        <w:tc>
          <w:tcPr>
            <w:tcW w:w="990" w:type="dxa"/>
            <w:vMerge w:val="restart"/>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2016–17</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72</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46</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93</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19</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18</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248</w:t>
            </w:r>
          </w:p>
        </w:tc>
      </w:tr>
      <w:tr w:rsidR="00797E5C" w:rsidRPr="00797E5C" w:rsidTr="00250A2F">
        <w:trPr>
          <w:cantSplit/>
        </w:trPr>
        <w:tc>
          <w:tcPr>
            <w:tcW w:w="1915" w:type="dxa"/>
            <w:vMerge/>
            <w:shd w:val="clear" w:color="auto" w:fill="auto"/>
          </w:tcPr>
          <w:p w:rsidR="00797E5C" w:rsidRPr="00797E5C" w:rsidRDefault="00797E5C" w:rsidP="00250A2F">
            <w:pPr>
              <w:pStyle w:val="TableText"/>
              <w:spacing w:before="30" w:after="30"/>
              <w:rPr>
                <w:rFonts w:ascii="Times New Roman" w:hAnsi="Times New Roman"/>
                <w:sz w:val="24"/>
                <w:szCs w:val="24"/>
              </w:rPr>
            </w:pPr>
          </w:p>
        </w:tc>
        <w:tc>
          <w:tcPr>
            <w:tcW w:w="990" w:type="dxa"/>
            <w:vMerge/>
            <w:shd w:val="clear" w:color="auto" w:fill="auto"/>
          </w:tcPr>
          <w:p w:rsidR="00797E5C" w:rsidRPr="00797E5C" w:rsidRDefault="00797E5C" w:rsidP="00250A2F">
            <w:pPr>
              <w:pStyle w:val="TableText"/>
              <w:spacing w:before="30" w:after="30"/>
              <w:rPr>
                <w:rFonts w:ascii="Times New Roman" w:hAnsi="Times New Roman"/>
                <w:sz w:val="24"/>
                <w:szCs w:val="24"/>
              </w:rPr>
            </w:pP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27.1%</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51.1%</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47.9%</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44.2%</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56.2%</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39.7%</w:t>
            </w:r>
          </w:p>
        </w:tc>
      </w:tr>
      <w:tr w:rsidR="00797E5C" w:rsidRPr="00797E5C" w:rsidTr="00250A2F">
        <w:trPr>
          <w:cantSplit/>
        </w:trPr>
        <w:tc>
          <w:tcPr>
            <w:tcW w:w="1915" w:type="dxa"/>
            <w:vMerge w:val="restart"/>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Total all matters</w:t>
            </w:r>
          </w:p>
        </w:tc>
        <w:tc>
          <w:tcPr>
            <w:tcW w:w="99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2017–18</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863</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381</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751</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175</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201</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2371</w:t>
            </w:r>
          </w:p>
        </w:tc>
      </w:tr>
      <w:tr w:rsidR="00797E5C" w:rsidRPr="00797E5C" w:rsidTr="00250A2F">
        <w:trPr>
          <w:cantSplit/>
        </w:trPr>
        <w:tc>
          <w:tcPr>
            <w:tcW w:w="1915" w:type="dxa"/>
            <w:vMerge/>
            <w:shd w:val="clear" w:color="auto" w:fill="auto"/>
          </w:tcPr>
          <w:p w:rsidR="00797E5C" w:rsidRPr="00797E5C" w:rsidRDefault="00797E5C" w:rsidP="00250A2F">
            <w:pPr>
              <w:pStyle w:val="TableText"/>
              <w:spacing w:before="30" w:after="30"/>
              <w:rPr>
                <w:rFonts w:ascii="Times New Roman" w:hAnsi="Times New Roman"/>
                <w:sz w:val="24"/>
                <w:szCs w:val="24"/>
              </w:rPr>
            </w:pPr>
          </w:p>
        </w:tc>
        <w:tc>
          <w:tcPr>
            <w:tcW w:w="99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2016–17</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940</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434</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603</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183</w:t>
            </w:r>
          </w:p>
        </w:tc>
        <w:tc>
          <w:tcPr>
            <w:tcW w:w="840"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196</w:t>
            </w:r>
          </w:p>
        </w:tc>
        <w:tc>
          <w:tcPr>
            <w:tcW w:w="841" w:type="dxa"/>
            <w:shd w:val="clear" w:color="auto" w:fill="auto"/>
          </w:tcPr>
          <w:p w:rsidR="00797E5C" w:rsidRPr="00797E5C" w:rsidRDefault="00797E5C" w:rsidP="00250A2F">
            <w:pPr>
              <w:pStyle w:val="TableText"/>
              <w:spacing w:before="30" w:after="30"/>
              <w:rPr>
                <w:rFonts w:ascii="Times New Roman" w:hAnsi="Times New Roman"/>
                <w:sz w:val="24"/>
                <w:szCs w:val="24"/>
              </w:rPr>
            </w:pPr>
            <w:r w:rsidRPr="00797E5C">
              <w:t>2356</w:t>
            </w:r>
          </w:p>
        </w:tc>
      </w:tr>
      <w:tr w:rsidR="00797E5C" w:rsidRPr="00797E5C" w:rsidTr="00250A2F">
        <w:trPr>
          <w:cantSplit/>
        </w:trPr>
        <w:tc>
          <w:tcPr>
            <w:tcW w:w="1915" w:type="dxa"/>
            <w:vMerge w:val="restart"/>
            <w:shd w:val="clear" w:color="auto" w:fill="auto"/>
          </w:tcPr>
          <w:p w:rsidR="00797E5C" w:rsidRPr="00797E5C" w:rsidRDefault="00797E5C" w:rsidP="00250A2F">
            <w:pPr>
              <w:pStyle w:val="TableText"/>
              <w:keepNext w:val="0"/>
              <w:spacing w:before="30" w:after="30"/>
              <w:rPr>
                <w:rFonts w:ascii="Times New Roman" w:hAnsi="Times New Roman"/>
                <w:sz w:val="24"/>
                <w:szCs w:val="24"/>
              </w:rPr>
            </w:pPr>
            <w:r w:rsidRPr="00797E5C">
              <w:t>Set aside all matters</w:t>
            </w:r>
          </w:p>
        </w:tc>
        <w:tc>
          <w:tcPr>
            <w:tcW w:w="990" w:type="dxa"/>
            <w:vMerge w:val="restart"/>
            <w:shd w:val="clear" w:color="auto" w:fill="auto"/>
          </w:tcPr>
          <w:p w:rsidR="00797E5C" w:rsidRPr="00797E5C" w:rsidRDefault="00797E5C" w:rsidP="00250A2F">
            <w:pPr>
              <w:pStyle w:val="TableText"/>
              <w:keepNext w:val="0"/>
              <w:spacing w:before="30" w:after="30"/>
              <w:rPr>
                <w:rFonts w:ascii="Times New Roman" w:hAnsi="Times New Roman"/>
                <w:sz w:val="24"/>
                <w:szCs w:val="24"/>
              </w:rPr>
            </w:pPr>
            <w:r w:rsidRPr="00797E5C">
              <w:t>2017–18</w:t>
            </w:r>
          </w:p>
        </w:tc>
        <w:tc>
          <w:tcPr>
            <w:tcW w:w="840" w:type="dxa"/>
            <w:shd w:val="clear" w:color="auto" w:fill="auto"/>
          </w:tcPr>
          <w:p w:rsidR="00797E5C" w:rsidRPr="00797E5C" w:rsidRDefault="00797E5C" w:rsidP="00250A2F">
            <w:pPr>
              <w:pStyle w:val="TableText"/>
              <w:keepNext w:val="0"/>
              <w:spacing w:before="30" w:after="30"/>
              <w:rPr>
                <w:rFonts w:ascii="Times New Roman" w:hAnsi="Times New Roman"/>
                <w:sz w:val="24"/>
                <w:szCs w:val="24"/>
              </w:rPr>
            </w:pPr>
            <w:r w:rsidRPr="00797E5C">
              <w:t>637</w:t>
            </w:r>
          </w:p>
        </w:tc>
        <w:tc>
          <w:tcPr>
            <w:tcW w:w="841" w:type="dxa"/>
            <w:shd w:val="clear" w:color="auto" w:fill="auto"/>
          </w:tcPr>
          <w:p w:rsidR="00797E5C" w:rsidRPr="00797E5C" w:rsidRDefault="00797E5C" w:rsidP="00250A2F">
            <w:pPr>
              <w:pStyle w:val="TableText"/>
              <w:keepNext w:val="0"/>
              <w:spacing w:before="30" w:after="30"/>
              <w:rPr>
                <w:rFonts w:ascii="Times New Roman" w:hAnsi="Times New Roman"/>
                <w:sz w:val="24"/>
                <w:szCs w:val="24"/>
              </w:rPr>
            </w:pPr>
            <w:r w:rsidRPr="00797E5C">
              <w:t>248</w:t>
            </w:r>
          </w:p>
        </w:tc>
        <w:tc>
          <w:tcPr>
            <w:tcW w:w="840" w:type="dxa"/>
            <w:shd w:val="clear" w:color="auto" w:fill="auto"/>
          </w:tcPr>
          <w:p w:rsidR="00797E5C" w:rsidRPr="00797E5C" w:rsidRDefault="00797E5C" w:rsidP="00250A2F">
            <w:pPr>
              <w:pStyle w:val="TableText"/>
              <w:keepNext w:val="0"/>
              <w:spacing w:before="30" w:after="30"/>
              <w:rPr>
                <w:rFonts w:ascii="Times New Roman" w:hAnsi="Times New Roman"/>
                <w:sz w:val="24"/>
                <w:szCs w:val="24"/>
              </w:rPr>
            </w:pPr>
            <w:r w:rsidRPr="00797E5C">
              <w:t>320</w:t>
            </w:r>
          </w:p>
        </w:tc>
        <w:tc>
          <w:tcPr>
            <w:tcW w:w="841" w:type="dxa"/>
            <w:shd w:val="clear" w:color="auto" w:fill="auto"/>
          </w:tcPr>
          <w:p w:rsidR="00797E5C" w:rsidRPr="00797E5C" w:rsidRDefault="00797E5C" w:rsidP="00250A2F">
            <w:pPr>
              <w:pStyle w:val="TableText"/>
              <w:keepNext w:val="0"/>
              <w:spacing w:before="30" w:after="30"/>
              <w:rPr>
                <w:rFonts w:ascii="Times New Roman" w:hAnsi="Times New Roman"/>
                <w:sz w:val="24"/>
                <w:szCs w:val="24"/>
              </w:rPr>
            </w:pPr>
            <w:r w:rsidRPr="00797E5C">
              <w:t>105</w:t>
            </w:r>
          </w:p>
        </w:tc>
        <w:tc>
          <w:tcPr>
            <w:tcW w:w="840" w:type="dxa"/>
            <w:shd w:val="clear" w:color="auto" w:fill="auto"/>
          </w:tcPr>
          <w:p w:rsidR="00797E5C" w:rsidRPr="00797E5C" w:rsidRDefault="00797E5C" w:rsidP="00250A2F">
            <w:pPr>
              <w:pStyle w:val="TableText"/>
              <w:keepNext w:val="0"/>
              <w:spacing w:before="30" w:after="30"/>
              <w:rPr>
                <w:rFonts w:ascii="Times New Roman" w:hAnsi="Times New Roman"/>
                <w:sz w:val="24"/>
                <w:szCs w:val="24"/>
              </w:rPr>
            </w:pPr>
            <w:r w:rsidRPr="00797E5C">
              <w:t>107</w:t>
            </w:r>
          </w:p>
        </w:tc>
        <w:tc>
          <w:tcPr>
            <w:tcW w:w="841" w:type="dxa"/>
            <w:shd w:val="clear" w:color="auto" w:fill="auto"/>
          </w:tcPr>
          <w:p w:rsidR="00797E5C" w:rsidRPr="00797E5C" w:rsidRDefault="00797E5C" w:rsidP="00250A2F">
            <w:pPr>
              <w:pStyle w:val="TableText"/>
              <w:keepNext w:val="0"/>
              <w:spacing w:before="30" w:after="30"/>
              <w:rPr>
                <w:rFonts w:ascii="Times New Roman" w:hAnsi="Times New Roman"/>
                <w:sz w:val="24"/>
                <w:szCs w:val="24"/>
              </w:rPr>
            </w:pPr>
            <w:r w:rsidRPr="00797E5C">
              <w:t>1417</w:t>
            </w:r>
          </w:p>
        </w:tc>
      </w:tr>
      <w:tr w:rsidR="00797E5C" w:rsidRPr="00797E5C" w:rsidTr="00250A2F">
        <w:trPr>
          <w:cantSplit/>
        </w:trPr>
        <w:tc>
          <w:tcPr>
            <w:tcW w:w="1915" w:type="dxa"/>
            <w:vMerge/>
            <w:shd w:val="clear" w:color="auto" w:fill="auto"/>
          </w:tcPr>
          <w:p w:rsidR="00797E5C" w:rsidRPr="00797E5C" w:rsidRDefault="00797E5C" w:rsidP="00250A2F">
            <w:pPr>
              <w:pStyle w:val="TableText"/>
              <w:keepNext w:val="0"/>
              <w:spacing w:before="30" w:after="30"/>
              <w:rPr>
                <w:rFonts w:ascii="Times New Roman" w:hAnsi="Times New Roman"/>
                <w:sz w:val="24"/>
                <w:szCs w:val="24"/>
              </w:rPr>
            </w:pPr>
          </w:p>
        </w:tc>
        <w:tc>
          <w:tcPr>
            <w:tcW w:w="990" w:type="dxa"/>
            <w:vMerge/>
            <w:shd w:val="clear" w:color="auto" w:fill="auto"/>
          </w:tcPr>
          <w:p w:rsidR="00797E5C" w:rsidRPr="00797E5C" w:rsidRDefault="00797E5C" w:rsidP="00250A2F">
            <w:pPr>
              <w:pStyle w:val="TableText"/>
              <w:keepNext w:val="0"/>
              <w:spacing w:before="30" w:after="30"/>
              <w:rPr>
                <w:rFonts w:ascii="Times New Roman" w:hAnsi="Times New Roman"/>
                <w:sz w:val="24"/>
                <w:szCs w:val="24"/>
              </w:rPr>
            </w:pPr>
          </w:p>
        </w:tc>
        <w:tc>
          <w:tcPr>
            <w:tcW w:w="840" w:type="dxa"/>
            <w:shd w:val="clear" w:color="auto" w:fill="auto"/>
          </w:tcPr>
          <w:p w:rsidR="00797E5C" w:rsidRPr="00797E5C" w:rsidRDefault="00797E5C" w:rsidP="00250A2F">
            <w:pPr>
              <w:pStyle w:val="TableText"/>
              <w:keepNext w:val="0"/>
              <w:spacing w:before="30" w:after="30"/>
              <w:rPr>
                <w:rFonts w:ascii="Times New Roman" w:hAnsi="Times New Roman"/>
                <w:sz w:val="24"/>
                <w:szCs w:val="24"/>
              </w:rPr>
            </w:pPr>
            <w:r w:rsidRPr="00797E5C">
              <w:t>73.8%</w:t>
            </w:r>
          </w:p>
        </w:tc>
        <w:tc>
          <w:tcPr>
            <w:tcW w:w="841" w:type="dxa"/>
            <w:shd w:val="clear" w:color="auto" w:fill="auto"/>
          </w:tcPr>
          <w:p w:rsidR="00797E5C" w:rsidRPr="00797E5C" w:rsidRDefault="00797E5C" w:rsidP="00250A2F">
            <w:pPr>
              <w:pStyle w:val="TableText"/>
              <w:keepNext w:val="0"/>
              <w:spacing w:before="30" w:after="30"/>
              <w:rPr>
                <w:rFonts w:ascii="Times New Roman" w:hAnsi="Times New Roman"/>
                <w:sz w:val="24"/>
                <w:szCs w:val="24"/>
              </w:rPr>
            </w:pPr>
            <w:r w:rsidRPr="00797E5C">
              <w:t>65.1%</w:t>
            </w:r>
          </w:p>
        </w:tc>
        <w:tc>
          <w:tcPr>
            <w:tcW w:w="840" w:type="dxa"/>
            <w:shd w:val="clear" w:color="auto" w:fill="auto"/>
          </w:tcPr>
          <w:p w:rsidR="00797E5C" w:rsidRPr="00797E5C" w:rsidRDefault="00797E5C" w:rsidP="00250A2F">
            <w:pPr>
              <w:pStyle w:val="TableText"/>
              <w:keepNext w:val="0"/>
              <w:spacing w:before="30" w:after="30"/>
              <w:rPr>
                <w:rFonts w:ascii="Times New Roman" w:hAnsi="Times New Roman"/>
                <w:sz w:val="24"/>
                <w:szCs w:val="24"/>
              </w:rPr>
            </w:pPr>
            <w:r w:rsidRPr="00797E5C">
              <w:t>42.6%</w:t>
            </w:r>
          </w:p>
        </w:tc>
        <w:tc>
          <w:tcPr>
            <w:tcW w:w="841" w:type="dxa"/>
            <w:shd w:val="clear" w:color="auto" w:fill="auto"/>
          </w:tcPr>
          <w:p w:rsidR="00797E5C" w:rsidRPr="00797E5C" w:rsidRDefault="00797E5C" w:rsidP="00250A2F">
            <w:pPr>
              <w:pStyle w:val="TableText"/>
              <w:keepNext w:val="0"/>
              <w:spacing w:before="30" w:after="30"/>
              <w:rPr>
                <w:rFonts w:ascii="Times New Roman" w:hAnsi="Times New Roman"/>
                <w:sz w:val="24"/>
                <w:szCs w:val="24"/>
              </w:rPr>
            </w:pPr>
            <w:r w:rsidRPr="00797E5C">
              <w:t>60%</w:t>
            </w:r>
          </w:p>
        </w:tc>
        <w:tc>
          <w:tcPr>
            <w:tcW w:w="840" w:type="dxa"/>
            <w:shd w:val="clear" w:color="auto" w:fill="auto"/>
          </w:tcPr>
          <w:p w:rsidR="00797E5C" w:rsidRPr="00797E5C" w:rsidRDefault="00797E5C" w:rsidP="00250A2F">
            <w:pPr>
              <w:pStyle w:val="TableText"/>
              <w:keepNext w:val="0"/>
              <w:spacing w:before="30" w:after="30"/>
              <w:rPr>
                <w:rFonts w:ascii="Times New Roman" w:hAnsi="Times New Roman"/>
                <w:sz w:val="24"/>
                <w:szCs w:val="24"/>
              </w:rPr>
            </w:pPr>
            <w:r w:rsidRPr="00797E5C">
              <w:t>53.2%</w:t>
            </w:r>
          </w:p>
        </w:tc>
        <w:tc>
          <w:tcPr>
            <w:tcW w:w="841" w:type="dxa"/>
            <w:shd w:val="clear" w:color="auto" w:fill="auto"/>
          </w:tcPr>
          <w:p w:rsidR="00797E5C" w:rsidRPr="00797E5C" w:rsidRDefault="00797E5C" w:rsidP="00250A2F">
            <w:pPr>
              <w:pStyle w:val="TableText"/>
              <w:keepNext w:val="0"/>
              <w:spacing w:before="30" w:after="30"/>
              <w:rPr>
                <w:rFonts w:ascii="Times New Roman" w:hAnsi="Times New Roman"/>
                <w:sz w:val="24"/>
                <w:szCs w:val="24"/>
              </w:rPr>
            </w:pPr>
            <w:r w:rsidRPr="00797E5C">
              <w:t>59.8%</w:t>
            </w:r>
          </w:p>
        </w:tc>
      </w:tr>
      <w:tr w:rsidR="00797E5C" w:rsidRPr="00797E5C" w:rsidTr="00250A2F">
        <w:trPr>
          <w:cantSplit/>
        </w:trPr>
        <w:tc>
          <w:tcPr>
            <w:tcW w:w="1915" w:type="dxa"/>
            <w:vMerge/>
            <w:shd w:val="clear" w:color="auto" w:fill="auto"/>
          </w:tcPr>
          <w:p w:rsidR="00797E5C" w:rsidRPr="00797E5C" w:rsidRDefault="00797E5C" w:rsidP="00250A2F">
            <w:pPr>
              <w:pStyle w:val="TableText"/>
              <w:keepNext w:val="0"/>
              <w:spacing w:before="30" w:after="30"/>
              <w:rPr>
                <w:rFonts w:ascii="Times New Roman" w:hAnsi="Times New Roman"/>
                <w:sz w:val="24"/>
                <w:szCs w:val="24"/>
              </w:rPr>
            </w:pPr>
          </w:p>
        </w:tc>
        <w:tc>
          <w:tcPr>
            <w:tcW w:w="990" w:type="dxa"/>
            <w:vMerge w:val="restart"/>
            <w:shd w:val="clear" w:color="auto" w:fill="auto"/>
          </w:tcPr>
          <w:p w:rsidR="00797E5C" w:rsidRPr="00797E5C" w:rsidRDefault="00797E5C" w:rsidP="00250A2F">
            <w:pPr>
              <w:pStyle w:val="TableText"/>
              <w:keepNext w:val="0"/>
              <w:spacing w:before="30" w:after="30"/>
              <w:rPr>
                <w:rFonts w:ascii="Times New Roman" w:hAnsi="Times New Roman"/>
                <w:sz w:val="24"/>
                <w:szCs w:val="24"/>
              </w:rPr>
            </w:pPr>
            <w:r w:rsidRPr="00797E5C">
              <w:t>2016–17</w:t>
            </w:r>
          </w:p>
        </w:tc>
        <w:tc>
          <w:tcPr>
            <w:tcW w:w="840" w:type="dxa"/>
            <w:shd w:val="clear" w:color="auto" w:fill="auto"/>
          </w:tcPr>
          <w:p w:rsidR="00797E5C" w:rsidRPr="00797E5C" w:rsidRDefault="00797E5C" w:rsidP="00250A2F">
            <w:pPr>
              <w:pStyle w:val="TableText"/>
              <w:keepNext w:val="0"/>
              <w:spacing w:before="30" w:after="30"/>
              <w:rPr>
                <w:rFonts w:ascii="Times New Roman" w:hAnsi="Times New Roman"/>
                <w:sz w:val="24"/>
                <w:szCs w:val="24"/>
              </w:rPr>
            </w:pPr>
            <w:r w:rsidRPr="00797E5C">
              <w:t>671</w:t>
            </w:r>
          </w:p>
        </w:tc>
        <w:tc>
          <w:tcPr>
            <w:tcW w:w="841" w:type="dxa"/>
            <w:shd w:val="clear" w:color="auto" w:fill="auto"/>
          </w:tcPr>
          <w:p w:rsidR="00797E5C" w:rsidRPr="00797E5C" w:rsidRDefault="00797E5C" w:rsidP="00250A2F">
            <w:pPr>
              <w:pStyle w:val="TableText"/>
              <w:keepNext w:val="0"/>
              <w:spacing w:before="30" w:after="30"/>
              <w:rPr>
                <w:rFonts w:ascii="Times New Roman" w:hAnsi="Times New Roman"/>
                <w:sz w:val="24"/>
                <w:szCs w:val="24"/>
              </w:rPr>
            </w:pPr>
            <w:r w:rsidRPr="00797E5C">
              <w:t>185</w:t>
            </w:r>
          </w:p>
        </w:tc>
        <w:tc>
          <w:tcPr>
            <w:tcW w:w="840" w:type="dxa"/>
            <w:shd w:val="clear" w:color="auto" w:fill="auto"/>
          </w:tcPr>
          <w:p w:rsidR="00797E5C" w:rsidRPr="00797E5C" w:rsidRDefault="00797E5C" w:rsidP="00250A2F">
            <w:pPr>
              <w:pStyle w:val="TableText"/>
              <w:keepNext w:val="0"/>
              <w:spacing w:before="30" w:after="30"/>
              <w:rPr>
                <w:rFonts w:ascii="Times New Roman" w:hAnsi="Times New Roman"/>
                <w:sz w:val="24"/>
                <w:szCs w:val="24"/>
              </w:rPr>
            </w:pPr>
            <w:r w:rsidRPr="00797E5C">
              <w:t>239</w:t>
            </w:r>
          </w:p>
        </w:tc>
        <w:tc>
          <w:tcPr>
            <w:tcW w:w="841" w:type="dxa"/>
            <w:shd w:val="clear" w:color="auto" w:fill="auto"/>
          </w:tcPr>
          <w:p w:rsidR="00797E5C" w:rsidRPr="00797E5C" w:rsidRDefault="00797E5C" w:rsidP="00250A2F">
            <w:pPr>
              <w:pStyle w:val="TableText"/>
              <w:keepNext w:val="0"/>
              <w:spacing w:before="30" w:after="30"/>
              <w:rPr>
                <w:rFonts w:ascii="Times New Roman" w:hAnsi="Times New Roman"/>
                <w:sz w:val="24"/>
                <w:szCs w:val="24"/>
              </w:rPr>
            </w:pPr>
            <w:r w:rsidRPr="00797E5C">
              <w:t>97</w:t>
            </w:r>
          </w:p>
        </w:tc>
        <w:tc>
          <w:tcPr>
            <w:tcW w:w="840" w:type="dxa"/>
            <w:shd w:val="clear" w:color="auto" w:fill="auto"/>
          </w:tcPr>
          <w:p w:rsidR="00797E5C" w:rsidRPr="00797E5C" w:rsidRDefault="00797E5C" w:rsidP="00250A2F">
            <w:pPr>
              <w:pStyle w:val="TableText"/>
              <w:keepNext w:val="0"/>
              <w:spacing w:before="30" w:after="30"/>
              <w:rPr>
                <w:rFonts w:ascii="Times New Roman" w:hAnsi="Times New Roman"/>
                <w:sz w:val="24"/>
                <w:szCs w:val="24"/>
              </w:rPr>
            </w:pPr>
            <w:r w:rsidRPr="00797E5C">
              <w:t>64</w:t>
            </w:r>
          </w:p>
        </w:tc>
        <w:tc>
          <w:tcPr>
            <w:tcW w:w="841" w:type="dxa"/>
            <w:shd w:val="clear" w:color="auto" w:fill="auto"/>
          </w:tcPr>
          <w:p w:rsidR="00797E5C" w:rsidRPr="00797E5C" w:rsidRDefault="00797E5C" w:rsidP="00250A2F">
            <w:pPr>
              <w:pStyle w:val="TableText"/>
              <w:keepNext w:val="0"/>
              <w:spacing w:before="30" w:after="30"/>
              <w:rPr>
                <w:rFonts w:ascii="Times New Roman" w:hAnsi="Times New Roman"/>
                <w:sz w:val="24"/>
                <w:szCs w:val="24"/>
              </w:rPr>
            </w:pPr>
            <w:r w:rsidRPr="00797E5C">
              <w:t>1256</w:t>
            </w:r>
          </w:p>
        </w:tc>
      </w:tr>
      <w:tr w:rsidR="00797E5C" w:rsidRPr="00797E5C" w:rsidTr="00250A2F">
        <w:trPr>
          <w:cantSplit/>
        </w:trPr>
        <w:tc>
          <w:tcPr>
            <w:tcW w:w="1915" w:type="dxa"/>
            <w:vMerge/>
            <w:shd w:val="clear" w:color="auto" w:fill="auto"/>
          </w:tcPr>
          <w:p w:rsidR="00797E5C" w:rsidRPr="00797E5C" w:rsidRDefault="00797E5C" w:rsidP="00250A2F">
            <w:pPr>
              <w:pStyle w:val="TableText"/>
              <w:keepNext w:val="0"/>
              <w:spacing w:before="30" w:after="30"/>
              <w:rPr>
                <w:rFonts w:ascii="Times New Roman" w:hAnsi="Times New Roman"/>
                <w:sz w:val="24"/>
                <w:szCs w:val="24"/>
              </w:rPr>
            </w:pPr>
          </w:p>
        </w:tc>
        <w:tc>
          <w:tcPr>
            <w:tcW w:w="990" w:type="dxa"/>
            <w:vMerge/>
            <w:shd w:val="clear" w:color="auto" w:fill="auto"/>
          </w:tcPr>
          <w:p w:rsidR="00797E5C" w:rsidRPr="00797E5C" w:rsidRDefault="00797E5C" w:rsidP="00250A2F">
            <w:pPr>
              <w:pStyle w:val="TableText"/>
              <w:keepNext w:val="0"/>
              <w:spacing w:before="30" w:after="30"/>
              <w:rPr>
                <w:rFonts w:ascii="Times New Roman" w:hAnsi="Times New Roman"/>
                <w:sz w:val="24"/>
                <w:szCs w:val="24"/>
              </w:rPr>
            </w:pPr>
          </w:p>
        </w:tc>
        <w:tc>
          <w:tcPr>
            <w:tcW w:w="840" w:type="dxa"/>
            <w:shd w:val="clear" w:color="auto" w:fill="auto"/>
          </w:tcPr>
          <w:p w:rsidR="00797E5C" w:rsidRPr="00797E5C" w:rsidRDefault="00797E5C" w:rsidP="00250A2F">
            <w:pPr>
              <w:pStyle w:val="TableText"/>
              <w:keepNext w:val="0"/>
              <w:spacing w:before="30" w:after="30"/>
              <w:rPr>
                <w:rFonts w:ascii="Times New Roman" w:hAnsi="Times New Roman"/>
                <w:sz w:val="24"/>
                <w:szCs w:val="24"/>
              </w:rPr>
            </w:pPr>
            <w:r w:rsidRPr="00797E5C">
              <w:t>71.4%</w:t>
            </w:r>
          </w:p>
        </w:tc>
        <w:tc>
          <w:tcPr>
            <w:tcW w:w="841" w:type="dxa"/>
            <w:shd w:val="clear" w:color="auto" w:fill="auto"/>
          </w:tcPr>
          <w:p w:rsidR="00797E5C" w:rsidRPr="00797E5C" w:rsidRDefault="00797E5C" w:rsidP="00250A2F">
            <w:pPr>
              <w:pStyle w:val="TableText"/>
              <w:keepNext w:val="0"/>
              <w:spacing w:before="30" w:after="30"/>
              <w:rPr>
                <w:rFonts w:ascii="Times New Roman" w:hAnsi="Times New Roman"/>
                <w:sz w:val="24"/>
                <w:szCs w:val="24"/>
              </w:rPr>
            </w:pPr>
            <w:r w:rsidRPr="00797E5C">
              <w:t>42.5%</w:t>
            </w:r>
          </w:p>
        </w:tc>
        <w:tc>
          <w:tcPr>
            <w:tcW w:w="840" w:type="dxa"/>
            <w:shd w:val="clear" w:color="auto" w:fill="auto"/>
          </w:tcPr>
          <w:p w:rsidR="00797E5C" w:rsidRPr="00797E5C" w:rsidRDefault="00797E5C" w:rsidP="00250A2F">
            <w:pPr>
              <w:pStyle w:val="TableText"/>
              <w:keepNext w:val="0"/>
              <w:spacing w:before="30" w:after="30"/>
              <w:rPr>
                <w:rFonts w:ascii="Times New Roman" w:hAnsi="Times New Roman"/>
                <w:sz w:val="24"/>
                <w:szCs w:val="24"/>
              </w:rPr>
            </w:pPr>
            <w:r w:rsidRPr="00797E5C">
              <w:t>39.6%</w:t>
            </w:r>
          </w:p>
        </w:tc>
        <w:tc>
          <w:tcPr>
            <w:tcW w:w="841" w:type="dxa"/>
            <w:shd w:val="clear" w:color="auto" w:fill="auto"/>
          </w:tcPr>
          <w:p w:rsidR="00797E5C" w:rsidRPr="00797E5C" w:rsidRDefault="00797E5C" w:rsidP="00250A2F">
            <w:pPr>
              <w:pStyle w:val="TableText"/>
              <w:keepNext w:val="0"/>
              <w:spacing w:before="30" w:after="30"/>
              <w:rPr>
                <w:rFonts w:ascii="Times New Roman" w:hAnsi="Times New Roman"/>
                <w:sz w:val="24"/>
                <w:szCs w:val="24"/>
              </w:rPr>
            </w:pPr>
            <w:r w:rsidRPr="00797E5C">
              <w:t>53.3%</w:t>
            </w:r>
          </w:p>
        </w:tc>
        <w:tc>
          <w:tcPr>
            <w:tcW w:w="840" w:type="dxa"/>
            <w:shd w:val="clear" w:color="auto" w:fill="auto"/>
          </w:tcPr>
          <w:p w:rsidR="00797E5C" w:rsidRPr="00797E5C" w:rsidRDefault="00797E5C" w:rsidP="00250A2F">
            <w:pPr>
              <w:pStyle w:val="TableText"/>
              <w:keepNext w:val="0"/>
              <w:spacing w:before="30" w:after="30"/>
              <w:rPr>
                <w:rFonts w:ascii="Times New Roman" w:hAnsi="Times New Roman"/>
                <w:sz w:val="24"/>
                <w:szCs w:val="24"/>
              </w:rPr>
            </w:pPr>
            <w:r w:rsidRPr="00797E5C">
              <w:t>39.4%</w:t>
            </w:r>
          </w:p>
        </w:tc>
        <w:tc>
          <w:tcPr>
            <w:tcW w:w="841" w:type="dxa"/>
            <w:shd w:val="clear" w:color="auto" w:fill="auto"/>
          </w:tcPr>
          <w:p w:rsidR="00797E5C" w:rsidRPr="00797E5C" w:rsidRDefault="00797E5C" w:rsidP="00250A2F">
            <w:pPr>
              <w:pStyle w:val="TableText"/>
              <w:keepNext w:val="0"/>
              <w:spacing w:before="30" w:after="30"/>
              <w:rPr>
                <w:rFonts w:ascii="Times New Roman" w:hAnsi="Times New Roman"/>
                <w:sz w:val="24"/>
                <w:szCs w:val="24"/>
              </w:rPr>
            </w:pPr>
            <w:r w:rsidRPr="00797E5C">
              <w:t>53.3%</w:t>
            </w:r>
          </w:p>
        </w:tc>
      </w:tr>
      <w:tr w:rsidR="00797E5C" w:rsidRPr="00797E5C" w:rsidTr="00250A2F">
        <w:trPr>
          <w:cantSplit/>
        </w:trPr>
        <w:tc>
          <w:tcPr>
            <w:tcW w:w="1915" w:type="dxa"/>
            <w:shd w:val="clear" w:color="auto" w:fill="auto"/>
          </w:tcPr>
          <w:p w:rsidR="00797E5C" w:rsidRPr="00797E5C" w:rsidRDefault="00797E5C" w:rsidP="00250A2F">
            <w:pPr>
              <w:pStyle w:val="TableText"/>
              <w:spacing w:before="30" w:after="30"/>
            </w:pPr>
            <w:r>
              <w:lastRenderedPageBreak/>
              <w:t>Affirmed all matters</w:t>
            </w:r>
          </w:p>
        </w:tc>
        <w:tc>
          <w:tcPr>
            <w:tcW w:w="990" w:type="dxa"/>
            <w:shd w:val="clear" w:color="auto" w:fill="auto"/>
          </w:tcPr>
          <w:p w:rsidR="00797E5C" w:rsidRPr="00797E5C" w:rsidRDefault="00797E5C" w:rsidP="00250A2F">
            <w:pPr>
              <w:pStyle w:val="TableText"/>
              <w:spacing w:before="30" w:after="30"/>
            </w:pPr>
            <w:r>
              <w:t>2017–18</w:t>
            </w:r>
          </w:p>
        </w:tc>
        <w:tc>
          <w:tcPr>
            <w:tcW w:w="840" w:type="dxa"/>
            <w:shd w:val="clear" w:color="auto" w:fill="auto"/>
          </w:tcPr>
          <w:p w:rsidR="00797E5C" w:rsidRPr="00797E5C" w:rsidRDefault="00797E5C" w:rsidP="00250A2F">
            <w:pPr>
              <w:pStyle w:val="TableText"/>
              <w:spacing w:before="30" w:after="30"/>
            </w:pPr>
            <w:r>
              <w:t>226</w:t>
            </w:r>
          </w:p>
        </w:tc>
        <w:tc>
          <w:tcPr>
            <w:tcW w:w="841" w:type="dxa"/>
            <w:shd w:val="clear" w:color="auto" w:fill="auto"/>
          </w:tcPr>
          <w:p w:rsidR="00797E5C" w:rsidRPr="00797E5C" w:rsidRDefault="00797E5C" w:rsidP="00250A2F">
            <w:pPr>
              <w:pStyle w:val="TableText"/>
              <w:spacing w:before="30" w:after="30"/>
            </w:pPr>
            <w:r>
              <w:t>133</w:t>
            </w:r>
          </w:p>
        </w:tc>
        <w:tc>
          <w:tcPr>
            <w:tcW w:w="840" w:type="dxa"/>
            <w:shd w:val="clear" w:color="auto" w:fill="auto"/>
          </w:tcPr>
          <w:p w:rsidR="00797E5C" w:rsidRPr="00797E5C" w:rsidRDefault="00797E5C" w:rsidP="00250A2F">
            <w:pPr>
              <w:pStyle w:val="TableText"/>
              <w:spacing w:before="30" w:after="30"/>
            </w:pPr>
            <w:r>
              <w:t>431</w:t>
            </w:r>
          </w:p>
        </w:tc>
        <w:tc>
          <w:tcPr>
            <w:tcW w:w="841" w:type="dxa"/>
            <w:shd w:val="clear" w:color="auto" w:fill="auto"/>
          </w:tcPr>
          <w:p w:rsidR="00797E5C" w:rsidRPr="00797E5C" w:rsidRDefault="00797E5C" w:rsidP="00250A2F">
            <w:pPr>
              <w:pStyle w:val="TableText"/>
              <w:spacing w:before="30" w:after="30"/>
            </w:pPr>
            <w:r>
              <w:t>70</w:t>
            </w:r>
          </w:p>
        </w:tc>
        <w:tc>
          <w:tcPr>
            <w:tcW w:w="840" w:type="dxa"/>
            <w:shd w:val="clear" w:color="auto" w:fill="auto"/>
          </w:tcPr>
          <w:p w:rsidR="00797E5C" w:rsidRPr="00797E5C" w:rsidRDefault="00797E5C" w:rsidP="00250A2F">
            <w:pPr>
              <w:pStyle w:val="TableText"/>
              <w:spacing w:before="30" w:after="30"/>
            </w:pPr>
            <w:r>
              <w:t>94</w:t>
            </w:r>
          </w:p>
        </w:tc>
        <w:tc>
          <w:tcPr>
            <w:tcW w:w="841" w:type="dxa"/>
            <w:shd w:val="clear" w:color="auto" w:fill="auto"/>
          </w:tcPr>
          <w:p w:rsidR="00797E5C" w:rsidRPr="00797E5C" w:rsidRDefault="00797E5C" w:rsidP="00250A2F">
            <w:pPr>
              <w:pStyle w:val="TableText"/>
              <w:spacing w:before="30" w:after="30"/>
            </w:pPr>
            <w:r>
              <w:t>954</w:t>
            </w:r>
          </w:p>
        </w:tc>
      </w:tr>
      <w:tr w:rsidR="00797E5C" w:rsidRPr="00797E5C" w:rsidTr="00250A2F">
        <w:trPr>
          <w:cantSplit/>
        </w:trPr>
        <w:tc>
          <w:tcPr>
            <w:tcW w:w="1915" w:type="dxa"/>
            <w:shd w:val="clear" w:color="auto" w:fill="auto"/>
          </w:tcPr>
          <w:p w:rsidR="00797E5C" w:rsidRDefault="00797E5C" w:rsidP="00250A2F">
            <w:pPr>
              <w:pStyle w:val="TableText"/>
              <w:spacing w:before="30" w:after="30"/>
            </w:pPr>
          </w:p>
        </w:tc>
        <w:tc>
          <w:tcPr>
            <w:tcW w:w="990" w:type="dxa"/>
            <w:shd w:val="clear" w:color="auto" w:fill="auto"/>
          </w:tcPr>
          <w:p w:rsidR="00797E5C" w:rsidRDefault="00797E5C" w:rsidP="00250A2F">
            <w:pPr>
              <w:pStyle w:val="TableText"/>
              <w:spacing w:before="30" w:after="30"/>
            </w:pPr>
          </w:p>
        </w:tc>
        <w:tc>
          <w:tcPr>
            <w:tcW w:w="840" w:type="dxa"/>
            <w:shd w:val="clear" w:color="auto" w:fill="auto"/>
          </w:tcPr>
          <w:p w:rsidR="00797E5C" w:rsidRDefault="00797E5C" w:rsidP="00250A2F">
            <w:pPr>
              <w:pStyle w:val="TableText"/>
              <w:spacing w:before="30" w:after="30"/>
            </w:pPr>
            <w:r>
              <w:t>26.2%</w:t>
            </w:r>
          </w:p>
        </w:tc>
        <w:tc>
          <w:tcPr>
            <w:tcW w:w="841" w:type="dxa"/>
            <w:shd w:val="clear" w:color="auto" w:fill="auto"/>
          </w:tcPr>
          <w:p w:rsidR="00797E5C" w:rsidRDefault="00797E5C" w:rsidP="00250A2F">
            <w:pPr>
              <w:pStyle w:val="TableText"/>
              <w:spacing w:before="30" w:after="30"/>
            </w:pPr>
            <w:r>
              <w:t>34.9%</w:t>
            </w:r>
          </w:p>
        </w:tc>
        <w:tc>
          <w:tcPr>
            <w:tcW w:w="840" w:type="dxa"/>
            <w:shd w:val="clear" w:color="auto" w:fill="auto"/>
          </w:tcPr>
          <w:p w:rsidR="00797E5C" w:rsidRDefault="00797E5C" w:rsidP="00250A2F">
            <w:pPr>
              <w:pStyle w:val="TableText"/>
              <w:spacing w:before="30" w:after="30"/>
            </w:pPr>
            <w:r>
              <w:t>57.4%</w:t>
            </w:r>
          </w:p>
        </w:tc>
        <w:tc>
          <w:tcPr>
            <w:tcW w:w="841" w:type="dxa"/>
            <w:shd w:val="clear" w:color="auto" w:fill="auto"/>
          </w:tcPr>
          <w:p w:rsidR="00797E5C" w:rsidRDefault="00797E5C" w:rsidP="00250A2F">
            <w:pPr>
              <w:pStyle w:val="TableText"/>
              <w:spacing w:before="30" w:after="30"/>
            </w:pPr>
            <w:r>
              <w:t>40%</w:t>
            </w:r>
          </w:p>
        </w:tc>
        <w:tc>
          <w:tcPr>
            <w:tcW w:w="840" w:type="dxa"/>
            <w:shd w:val="clear" w:color="auto" w:fill="auto"/>
          </w:tcPr>
          <w:p w:rsidR="00797E5C" w:rsidRDefault="00797E5C" w:rsidP="00250A2F">
            <w:pPr>
              <w:pStyle w:val="TableText"/>
              <w:spacing w:before="30" w:after="30"/>
            </w:pPr>
            <w:r>
              <w:t>46.8%</w:t>
            </w:r>
          </w:p>
        </w:tc>
        <w:tc>
          <w:tcPr>
            <w:tcW w:w="841" w:type="dxa"/>
            <w:shd w:val="clear" w:color="auto" w:fill="auto"/>
          </w:tcPr>
          <w:p w:rsidR="00797E5C" w:rsidRDefault="00797E5C" w:rsidP="00250A2F">
            <w:pPr>
              <w:pStyle w:val="TableText"/>
              <w:spacing w:before="30" w:after="30"/>
            </w:pPr>
            <w:r>
              <w:t>40.2%</w:t>
            </w:r>
          </w:p>
        </w:tc>
      </w:tr>
      <w:tr w:rsidR="00797E5C" w:rsidRPr="00797E5C" w:rsidTr="00250A2F">
        <w:trPr>
          <w:cantSplit/>
        </w:trPr>
        <w:tc>
          <w:tcPr>
            <w:tcW w:w="1915" w:type="dxa"/>
            <w:shd w:val="clear" w:color="auto" w:fill="auto"/>
          </w:tcPr>
          <w:p w:rsidR="00797E5C" w:rsidRDefault="00797E5C" w:rsidP="00250A2F">
            <w:pPr>
              <w:pStyle w:val="TableText"/>
              <w:spacing w:before="30" w:after="30"/>
            </w:pPr>
          </w:p>
        </w:tc>
        <w:tc>
          <w:tcPr>
            <w:tcW w:w="990" w:type="dxa"/>
            <w:shd w:val="clear" w:color="auto" w:fill="auto"/>
          </w:tcPr>
          <w:p w:rsidR="00797E5C" w:rsidRDefault="00797E5C" w:rsidP="00250A2F">
            <w:pPr>
              <w:pStyle w:val="TableText"/>
              <w:spacing w:before="30" w:after="30"/>
            </w:pPr>
            <w:r>
              <w:t>2016–17</w:t>
            </w:r>
          </w:p>
        </w:tc>
        <w:tc>
          <w:tcPr>
            <w:tcW w:w="840" w:type="dxa"/>
            <w:shd w:val="clear" w:color="auto" w:fill="auto"/>
          </w:tcPr>
          <w:p w:rsidR="00797E5C" w:rsidRDefault="00797E5C" w:rsidP="00250A2F">
            <w:pPr>
              <w:pStyle w:val="TableText"/>
              <w:spacing w:before="30" w:after="30"/>
            </w:pPr>
            <w:r>
              <w:t>269</w:t>
            </w:r>
          </w:p>
        </w:tc>
        <w:tc>
          <w:tcPr>
            <w:tcW w:w="841" w:type="dxa"/>
            <w:shd w:val="clear" w:color="auto" w:fill="auto"/>
          </w:tcPr>
          <w:p w:rsidR="00797E5C" w:rsidRDefault="00797E5C" w:rsidP="00250A2F">
            <w:pPr>
              <w:pStyle w:val="TableText"/>
              <w:spacing w:before="30" w:after="30"/>
            </w:pPr>
            <w:r>
              <w:t>250</w:t>
            </w:r>
          </w:p>
        </w:tc>
        <w:tc>
          <w:tcPr>
            <w:tcW w:w="840" w:type="dxa"/>
            <w:shd w:val="clear" w:color="auto" w:fill="auto"/>
          </w:tcPr>
          <w:p w:rsidR="00797E5C" w:rsidRDefault="00797E5C" w:rsidP="00250A2F">
            <w:pPr>
              <w:pStyle w:val="TableText"/>
              <w:spacing w:before="30" w:after="30"/>
            </w:pPr>
            <w:r>
              <w:t>364</w:t>
            </w:r>
          </w:p>
        </w:tc>
        <w:tc>
          <w:tcPr>
            <w:tcW w:w="841" w:type="dxa"/>
            <w:shd w:val="clear" w:color="auto" w:fill="auto"/>
          </w:tcPr>
          <w:p w:rsidR="00797E5C" w:rsidRDefault="00797E5C" w:rsidP="00250A2F">
            <w:pPr>
              <w:pStyle w:val="TableText"/>
              <w:spacing w:before="30" w:after="30"/>
            </w:pPr>
            <w:r>
              <w:t>85</w:t>
            </w:r>
          </w:p>
        </w:tc>
        <w:tc>
          <w:tcPr>
            <w:tcW w:w="840" w:type="dxa"/>
            <w:shd w:val="clear" w:color="auto" w:fill="auto"/>
          </w:tcPr>
          <w:p w:rsidR="00797E5C" w:rsidRDefault="00797E5C" w:rsidP="00250A2F">
            <w:pPr>
              <w:pStyle w:val="TableText"/>
              <w:spacing w:before="30" w:after="30"/>
            </w:pPr>
            <w:r>
              <w:t>132</w:t>
            </w:r>
          </w:p>
        </w:tc>
        <w:tc>
          <w:tcPr>
            <w:tcW w:w="841" w:type="dxa"/>
            <w:shd w:val="clear" w:color="auto" w:fill="auto"/>
          </w:tcPr>
          <w:p w:rsidR="00797E5C" w:rsidRDefault="00797E5C" w:rsidP="00250A2F">
            <w:pPr>
              <w:pStyle w:val="TableText"/>
              <w:spacing w:before="30" w:after="30"/>
            </w:pPr>
            <w:r>
              <w:t>1100</w:t>
            </w:r>
          </w:p>
        </w:tc>
      </w:tr>
      <w:tr w:rsidR="00797E5C" w:rsidRPr="00797E5C" w:rsidTr="00250A2F">
        <w:trPr>
          <w:cantSplit/>
        </w:trPr>
        <w:tc>
          <w:tcPr>
            <w:tcW w:w="1915" w:type="dxa"/>
            <w:shd w:val="clear" w:color="auto" w:fill="auto"/>
          </w:tcPr>
          <w:p w:rsidR="00797E5C" w:rsidRDefault="00797E5C" w:rsidP="00250A2F">
            <w:pPr>
              <w:pStyle w:val="TableText"/>
              <w:spacing w:before="30" w:after="30"/>
            </w:pPr>
          </w:p>
        </w:tc>
        <w:tc>
          <w:tcPr>
            <w:tcW w:w="990" w:type="dxa"/>
            <w:shd w:val="clear" w:color="auto" w:fill="auto"/>
          </w:tcPr>
          <w:p w:rsidR="00797E5C" w:rsidRDefault="00797E5C" w:rsidP="00250A2F">
            <w:pPr>
              <w:pStyle w:val="TableText"/>
              <w:spacing w:before="30" w:after="30"/>
            </w:pPr>
          </w:p>
        </w:tc>
        <w:tc>
          <w:tcPr>
            <w:tcW w:w="840" w:type="dxa"/>
            <w:shd w:val="clear" w:color="auto" w:fill="auto"/>
          </w:tcPr>
          <w:p w:rsidR="00797E5C" w:rsidRDefault="00797E5C" w:rsidP="00250A2F">
            <w:pPr>
              <w:pStyle w:val="TableText"/>
              <w:spacing w:before="30" w:after="30"/>
            </w:pPr>
            <w:r>
              <w:t>28.6%</w:t>
            </w:r>
          </w:p>
        </w:tc>
        <w:tc>
          <w:tcPr>
            <w:tcW w:w="841" w:type="dxa"/>
            <w:shd w:val="clear" w:color="auto" w:fill="auto"/>
          </w:tcPr>
          <w:p w:rsidR="00797E5C" w:rsidRDefault="00797E5C" w:rsidP="00250A2F">
            <w:pPr>
              <w:pStyle w:val="TableText"/>
              <w:spacing w:before="30" w:after="30"/>
            </w:pPr>
            <w:r>
              <w:t>57.5%</w:t>
            </w:r>
          </w:p>
        </w:tc>
        <w:tc>
          <w:tcPr>
            <w:tcW w:w="840" w:type="dxa"/>
            <w:shd w:val="clear" w:color="auto" w:fill="auto"/>
          </w:tcPr>
          <w:p w:rsidR="00797E5C" w:rsidRDefault="00797E5C" w:rsidP="00250A2F">
            <w:pPr>
              <w:pStyle w:val="TableText"/>
              <w:spacing w:before="30" w:after="30"/>
            </w:pPr>
            <w:r>
              <w:t>60.4%</w:t>
            </w:r>
          </w:p>
        </w:tc>
        <w:tc>
          <w:tcPr>
            <w:tcW w:w="841" w:type="dxa"/>
            <w:shd w:val="clear" w:color="auto" w:fill="auto"/>
          </w:tcPr>
          <w:p w:rsidR="00797E5C" w:rsidRDefault="00797E5C" w:rsidP="00250A2F">
            <w:pPr>
              <w:pStyle w:val="TableText"/>
              <w:spacing w:before="30" w:after="30"/>
            </w:pPr>
            <w:r>
              <w:t>46.7%</w:t>
            </w:r>
          </w:p>
        </w:tc>
        <w:tc>
          <w:tcPr>
            <w:tcW w:w="840" w:type="dxa"/>
            <w:shd w:val="clear" w:color="auto" w:fill="auto"/>
          </w:tcPr>
          <w:p w:rsidR="00797E5C" w:rsidRDefault="00797E5C" w:rsidP="00250A2F">
            <w:pPr>
              <w:pStyle w:val="TableText"/>
              <w:spacing w:before="30" w:after="30"/>
            </w:pPr>
            <w:r>
              <w:t>67.4%</w:t>
            </w:r>
          </w:p>
        </w:tc>
        <w:tc>
          <w:tcPr>
            <w:tcW w:w="841" w:type="dxa"/>
            <w:shd w:val="clear" w:color="auto" w:fill="auto"/>
          </w:tcPr>
          <w:p w:rsidR="00797E5C" w:rsidRDefault="00797E5C" w:rsidP="00250A2F">
            <w:pPr>
              <w:pStyle w:val="TableText"/>
              <w:spacing w:before="30" w:after="30"/>
            </w:pPr>
            <w:r>
              <w:t>46.7%</w:t>
            </w:r>
          </w:p>
        </w:tc>
      </w:tr>
    </w:tbl>
    <w:p w:rsidR="008D48CC" w:rsidRDefault="008D48CC" w:rsidP="00CD092B"/>
    <w:p w:rsidR="00797E5C" w:rsidRDefault="00797E5C" w:rsidP="00797E5C">
      <w:pPr>
        <w:pStyle w:val="FigureName"/>
      </w:pPr>
      <w:r w:rsidRPr="00797E5C">
        <w:t>Graph 2.1: Death matters set aside rates</w:t>
      </w:r>
    </w:p>
    <w:p w:rsidR="00797E5C" w:rsidRDefault="00250A2F" w:rsidP="00797E5C">
      <w:pPr>
        <w:pStyle w:val="FigurePara"/>
      </w:pPr>
      <w:r>
        <w:rPr>
          <w:noProof/>
          <w:lang w:eastAsia="en-AU"/>
        </w:rPr>
        <w:drawing>
          <wp:inline distT="0" distB="0" distL="0" distR="0" wp14:anchorId="6F190A66" wp14:editId="2EB0CB90">
            <wp:extent cx="4846320" cy="2575451"/>
            <wp:effectExtent l="0" t="0" r="0" b="0"/>
            <wp:docPr id="32" name="Picture 32" descr="Graph 2.1: Death matters set aside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P Plus\Docs\DVA\Veterans' Review Board\Annual Report 2017-18\sourcedocs\Graph 2.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46320" cy="2575451"/>
                    </a:xfrm>
                    <a:prstGeom prst="rect">
                      <a:avLst/>
                    </a:prstGeom>
                    <a:noFill/>
                    <a:ln>
                      <a:noFill/>
                    </a:ln>
                  </pic:spPr>
                </pic:pic>
              </a:graphicData>
            </a:graphic>
          </wp:inline>
        </w:drawing>
      </w:r>
    </w:p>
    <w:p w:rsidR="00797E5C" w:rsidRDefault="00797E5C" w:rsidP="00797E5C">
      <w:pPr>
        <w:pStyle w:val="FigureName"/>
      </w:pPr>
      <w:r w:rsidRPr="00797E5C">
        <w:t>Graph 2.2: Disability/liability matters set aside rates</w:t>
      </w:r>
    </w:p>
    <w:p w:rsidR="00797E5C" w:rsidRDefault="00250A2F" w:rsidP="00797E5C">
      <w:pPr>
        <w:pStyle w:val="FigurePara"/>
      </w:pPr>
      <w:r>
        <w:rPr>
          <w:noProof/>
          <w:lang w:eastAsia="en-AU"/>
        </w:rPr>
        <w:drawing>
          <wp:inline distT="0" distB="0" distL="0" distR="0" wp14:anchorId="4F7E2B5A" wp14:editId="365205F2">
            <wp:extent cx="4846320" cy="2545935"/>
            <wp:effectExtent l="0" t="0" r="0" b="6985"/>
            <wp:docPr id="33" name="Picture 33" descr="Graph 2.2: Disability/liability matters set aside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P Plus\Docs\DVA\Veterans' Review Board\Annual Report 2017-18\sourcedocs\Graph 2.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46320" cy="2545935"/>
                    </a:xfrm>
                    <a:prstGeom prst="rect">
                      <a:avLst/>
                    </a:prstGeom>
                    <a:noFill/>
                    <a:ln>
                      <a:noFill/>
                    </a:ln>
                  </pic:spPr>
                </pic:pic>
              </a:graphicData>
            </a:graphic>
          </wp:inline>
        </w:drawing>
      </w:r>
    </w:p>
    <w:p w:rsidR="00797E5C" w:rsidRDefault="0099514B" w:rsidP="00595A90">
      <w:pPr>
        <w:pStyle w:val="FigureName"/>
      </w:pPr>
      <w:r w:rsidRPr="0099514B">
        <w:lastRenderedPageBreak/>
        <w:t>Graph 2.3: Assessment/compensation matters set aside rates</w:t>
      </w:r>
    </w:p>
    <w:p w:rsidR="0099514B" w:rsidRDefault="00595A90" w:rsidP="00595A90">
      <w:pPr>
        <w:pStyle w:val="FigurePara"/>
      </w:pPr>
      <w:r>
        <w:br/>
      </w:r>
      <w:r>
        <w:rPr>
          <w:noProof/>
          <w:lang w:eastAsia="en-AU"/>
        </w:rPr>
        <w:drawing>
          <wp:inline distT="0" distB="0" distL="0" distR="0" wp14:anchorId="03BADE1F" wp14:editId="32E8107F">
            <wp:extent cx="4846320" cy="2585499"/>
            <wp:effectExtent l="0" t="0" r="0" b="5715"/>
            <wp:docPr id="34" name="Picture 34" descr="Graph 2.3: Assessment/compensation matters set aside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P Plus\Docs\DVA\Veterans' Review Board\Annual Report 2017-18\sourcedocs\Graph 2.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46320" cy="2585499"/>
                    </a:xfrm>
                    <a:prstGeom prst="rect">
                      <a:avLst/>
                    </a:prstGeom>
                    <a:noFill/>
                    <a:ln>
                      <a:noFill/>
                    </a:ln>
                  </pic:spPr>
                </pic:pic>
              </a:graphicData>
            </a:graphic>
          </wp:inline>
        </w:drawing>
      </w:r>
    </w:p>
    <w:p w:rsidR="0099514B" w:rsidRDefault="0099514B" w:rsidP="00595A90">
      <w:pPr>
        <w:pStyle w:val="FigureName"/>
      </w:pPr>
      <w:r w:rsidRPr="0099514B">
        <w:t>Graph 2.4: All matters set aside rates</w:t>
      </w:r>
    </w:p>
    <w:p w:rsidR="00595A90" w:rsidRDefault="00595A90" w:rsidP="00595A90">
      <w:pPr>
        <w:pStyle w:val="FigurePara"/>
      </w:pPr>
      <w:r>
        <w:br/>
      </w:r>
      <w:r>
        <w:rPr>
          <w:noProof/>
          <w:lang w:eastAsia="en-AU"/>
        </w:rPr>
        <w:drawing>
          <wp:inline distT="0" distB="0" distL="0" distR="0" wp14:anchorId="0BCDABAF" wp14:editId="6C40205A">
            <wp:extent cx="4846320" cy="2585499"/>
            <wp:effectExtent l="0" t="0" r="0" b="5715"/>
            <wp:docPr id="35" name="Picture 35" descr="Graph 2.4: All matters set aside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P Plus\Docs\DVA\Veterans' Review Board\Annual Report 2017-18\sourcedocs\Graph 2.4.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0" cy="2585499"/>
                    </a:xfrm>
                    <a:prstGeom prst="rect">
                      <a:avLst/>
                    </a:prstGeom>
                    <a:noFill/>
                    <a:ln>
                      <a:noFill/>
                    </a:ln>
                  </pic:spPr>
                </pic:pic>
              </a:graphicData>
            </a:graphic>
          </wp:inline>
        </w:drawing>
      </w:r>
    </w:p>
    <w:p w:rsidR="00595A90" w:rsidRDefault="00595A90" w:rsidP="00595A90">
      <w:bookmarkStart w:id="17" w:name="AAT"/>
      <w:bookmarkEnd w:id="16"/>
      <w:r>
        <w:t>Internal scrutiny of decisions and, in part, reference to the results of applications to the Administrative Appeals Tribunal</w:t>
      </w:r>
      <w:r w:rsidR="00EC32B8">
        <w:fldChar w:fldCharType="begin"/>
      </w:r>
      <w:r w:rsidR="00EC32B8">
        <w:instrText xml:space="preserve"> XE "</w:instrText>
      </w:r>
      <w:r w:rsidR="00EC32B8" w:rsidRPr="003924C2">
        <w:instrText>Administrative Appeals Tribunal</w:instrText>
      </w:r>
      <w:r w:rsidR="00EC32B8">
        <w:instrText xml:space="preserve">" \r "AAT" </w:instrText>
      </w:r>
      <w:r w:rsidR="00EC32B8">
        <w:fldChar w:fldCharType="end"/>
      </w:r>
      <w:r>
        <w:t xml:space="preserve"> (AAT) and the courts enables some measurement in relation to ensuring the VRB’s decisions are correct.</w:t>
      </w:r>
    </w:p>
    <w:p w:rsidR="00595A90" w:rsidRDefault="00595A90" w:rsidP="00634A89">
      <w:pPr>
        <w:pStyle w:val="Heading3"/>
        <w:spacing w:before="0"/>
      </w:pPr>
      <w:r>
        <w:lastRenderedPageBreak/>
        <w:t>FURTHER REVIEW</w:t>
      </w:r>
    </w:p>
    <w:p w:rsidR="00595A90" w:rsidRDefault="00595A90" w:rsidP="00595A90">
      <w:r>
        <w:t>VRB decisions are subject to merits review by the AAT. The VRB is not a party to the proceedings before the AAT.</w:t>
      </w:r>
    </w:p>
    <w:p w:rsidR="00595A90" w:rsidRDefault="00595A90" w:rsidP="00595A90">
      <w:r>
        <w:t>During 2017–18 the VRB was notified of the lodgement of 187 applications for review by the AAT of matters involving VRB decisions.</w:t>
      </w:r>
    </w:p>
    <w:p w:rsidR="00797E5C" w:rsidRDefault="00595A90" w:rsidP="00595A90">
      <w:r>
        <w:t>The table below sets out the number and the percentage of decisions which have been the subject of applications for review by the AAT. The application rate is estimated by comparing the number of applications lodged with the AAT with the number of applications finalised by VRB decisions made at hearings. It should be noted, however, that applications to the AAT are not necessarily made in the same financial year as the VRB decisions although the great majority are.</w:t>
      </w:r>
    </w:p>
    <w:tbl>
      <w:tblPr>
        <w:tblStyle w:val="TableGrid"/>
        <w:tblW w:w="5000" w:type="pct"/>
        <w:tblBorders>
          <w:top w:val="single" w:sz="4" w:space="0" w:color="A39892"/>
          <w:left w:val="single" w:sz="4" w:space="0" w:color="A39892"/>
          <w:bottom w:val="single" w:sz="4" w:space="0" w:color="A39892"/>
          <w:right w:val="single" w:sz="4" w:space="0" w:color="A39892"/>
          <w:insideH w:val="single" w:sz="4" w:space="0" w:color="A39892"/>
          <w:insideV w:val="single" w:sz="4" w:space="0" w:color="A39892"/>
        </w:tblBorders>
        <w:tblLayout w:type="fixed"/>
        <w:tblCellMar>
          <w:left w:w="115" w:type="dxa"/>
          <w:right w:w="115" w:type="dxa"/>
        </w:tblCellMar>
        <w:tblLook w:val="04A0" w:firstRow="1" w:lastRow="0" w:firstColumn="1" w:lastColumn="0" w:noHBand="0" w:noVBand="1"/>
      </w:tblPr>
      <w:tblGrid>
        <w:gridCol w:w="4345"/>
        <w:gridCol w:w="1801"/>
        <w:gridCol w:w="1802"/>
      </w:tblGrid>
      <w:tr w:rsidR="00C50C5A" w:rsidTr="00C50C5A">
        <w:trPr>
          <w:cantSplit/>
        </w:trPr>
        <w:tc>
          <w:tcPr>
            <w:tcW w:w="4345" w:type="dxa"/>
            <w:tcBorders>
              <w:bottom w:val="single" w:sz="4" w:space="0" w:color="A39892"/>
            </w:tcBorders>
            <w:shd w:val="clear" w:color="auto" w:fill="A39892"/>
          </w:tcPr>
          <w:p w:rsidR="00C50C5A" w:rsidRDefault="00C50C5A" w:rsidP="00634A89">
            <w:pPr>
              <w:pStyle w:val="TableName"/>
              <w:spacing w:before="80" w:after="40"/>
            </w:pPr>
            <w:r>
              <w:t>Table 3: Applications for review by the AAT</w:t>
            </w:r>
          </w:p>
        </w:tc>
        <w:tc>
          <w:tcPr>
            <w:tcW w:w="1801" w:type="dxa"/>
            <w:tcBorders>
              <w:bottom w:val="single" w:sz="4" w:space="0" w:color="A39892"/>
            </w:tcBorders>
            <w:shd w:val="clear" w:color="auto" w:fill="A39892"/>
          </w:tcPr>
          <w:p w:rsidR="00C50C5A" w:rsidRDefault="00C50C5A" w:rsidP="00634A89">
            <w:pPr>
              <w:pStyle w:val="TableText"/>
              <w:spacing w:before="80" w:after="40"/>
            </w:pPr>
          </w:p>
        </w:tc>
        <w:tc>
          <w:tcPr>
            <w:tcW w:w="1802" w:type="dxa"/>
            <w:tcBorders>
              <w:bottom w:val="single" w:sz="4" w:space="0" w:color="A39892"/>
            </w:tcBorders>
            <w:shd w:val="clear" w:color="auto" w:fill="A39892"/>
          </w:tcPr>
          <w:p w:rsidR="00C50C5A" w:rsidRDefault="00C50C5A" w:rsidP="00634A89">
            <w:pPr>
              <w:pStyle w:val="TableText"/>
              <w:spacing w:before="80" w:after="40"/>
            </w:pPr>
          </w:p>
        </w:tc>
      </w:tr>
      <w:tr w:rsidR="00C50C5A" w:rsidTr="00C50C5A">
        <w:trPr>
          <w:cantSplit/>
        </w:trPr>
        <w:tc>
          <w:tcPr>
            <w:tcW w:w="4345" w:type="dxa"/>
            <w:shd w:val="clear" w:color="auto" w:fill="C6BDB6"/>
          </w:tcPr>
          <w:p w:rsidR="00C50C5A" w:rsidRDefault="00C50C5A" w:rsidP="00634A89">
            <w:pPr>
              <w:pStyle w:val="TableText"/>
              <w:spacing w:after="20"/>
            </w:pPr>
          </w:p>
        </w:tc>
        <w:tc>
          <w:tcPr>
            <w:tcW w:w="1801" w:type="dxa"/>
            <w:shd w:val="clear" w:color="auto" w:fill="C6BDB6"/>
          </w:tcPr>
          <w:p w:rsidR="00C50C5A" w:rsidRPr="00C50C5A" w:rsidRDefault="00C50C5A" w:rsidP="00634A89">
            <w:pPr>
              <w:pStyle w:val="TableText"/>
              <w:spacing w:after="20"/>
              <w:rPr>
                <w:b/>
              </w:rPr>
            </w:pPr>
            <w:r w:rsidRPr="00C50C5A">
              <w:rPr>
                <w:b/>
              </w:rPr>
              <w:t>2016–17</w:t>
            </w:r>
          </w:p>
        </w:tc>
        <w:tc>
          <w:tcPr>
            <w:tcW w:w="1802" w:type="dxa"/>
            <w:shd w:val="clear" w:color="auto" w:fill="C6BDB6"/>
          </w:tcPr>
          <w:p w:rsidR="00C50C5A" w:rsidRPr="00C50C5A" w:rsidRDefault="00C50C5A" w:rsidP="00634A89">
            <w:pPr>
              <w:pStyle w:val="TableText"/>
              <w:spacing w:after="20"/>
              <w:rPr>
                <w:b/>
              </w:rPr>
            </w:pPr>
            <w:r w:rsidRPr="00C50C5A">
              <w:rPr>
                <w:b/>
              </w:rPr>
              <w:t>2017–18</w:t>
            </w:r>
          </w:p>
        </w:tc>
      </w:tr>
      <w:tr w:rsidR="00C50C5A" w:rsidTr="00C50C5A">
        <w:trPr>
          <w:cantSplit/>
        </w:trPr>
        <w:tc>
          <w:tcPr>
            <w:tcW w:w="4345" w:type="dxa"/>
          </w:tcPr>
          <w:p w:rsidR="00C50C5A" w:rsidRDefault="00C50C5A" w:rsidP="00634A89">
            <w:pPr>
              <w:pStyle w:val="TableText"/>
              <w:spacing w:after="20"/>
            </w:pPr>
            <w:r>
              <w:t>Applications for review from VRB decisions</w:t>
            </w:r>
          </w:p>
        </w:tc>
        <w:tc>
          <w:tcPr>
            <w:tcW w:w="1801" w:type="dxa"/>
          </w:tcPr>
          <w:p w:rsidR="00C50C5A" w:rsidRDefault="00C50C5A" w:rsidP="00634A89">
            <w:pPr>
              <w:pStyle w:val="TableText"/>
              <w:spacing w:after="20"/>
            </w:pPr>
            <w:r>
              <w:t>165</w:t>
            </w:r>
          </w:p>
        </w:tc>
        <w:tc>
          <w:tcPr>
            <w:tcW w:w="1802" w:type="dxa"/>
          </w:tcPr>
          <w:p w:rsidR="00C50C5A" w:rsidRDefault="00C50C5A" w:rsidP="00634A89">
            <w:pPr>
              <w:pStyle w:val="TableText"/>
              <w:spacing w:after="20"/>
            </w:pPr>
            <w:r>
              <w:t>187</w:t>
            </w:r>
          </w:p>
        </w:tc>
      </w:tr>
      <w:tr w:rsidR="00C50C5A" w:rsidTr="00C50C5A">
        <w:trPr>
          <w:cantSplit/>
        </w:trPr>
        <w:tc>
          <w:tcPr>
            <w:tcW w:w="4345" w:type="dxa"/>
          </w:tcPr>
          <w:p w:rsidR="00C50C5A" w:rsidRDefault="00C50C5A" w:rsidP="00634A89">
            <w:pPr>
              <w:pStyle w:val="TableText"/>
              <w:spacing w:after="20"/>
            </w:pPr>
          </w:p>
        </w:tc>
        <w:tc>
          <w:tcPr>
            <w:tcW w:w="1801" w:type="dxa"/>
          </w:tcPr>
          <w:p w:rsidR="00C50C5A" w:rsidRDefault="00C50C5A" w:rsidP="00634A89">
            <w:pPr>
              <w:pStyle w:val="TableText"/>
              <w:spacing w:after="20"/>
            </w:pPr>
            <w:r>
              <w:t>5.8%</w:t>
            </w:r>
          </w:p>
        </w:tc>
        <w:tc>
          <w:tcPr>
            <w:tcW w:w="1802" w:type="dxa"/>
          </w:tcPr>
          <w:p w:rsidR="00C50C5A" w:rsidRDefault="00C50C5A" w:rsidP="00634A89">
            <w:pPr>
              <w:pStyle w:val="TableText"/>
              <w:spacing w:after="20"/>
            </w:pPr>
            <w:r>
              <w:t>6.7%</w:t>
            </w:r>
          </w:p>
        </w:tc>
      </w:tr>
    </w:tbl>
    <w:p w:rsidR="00C50C5A" w:rsidRDefault="00C50C5A" w:rsidP="00C50C5A">
      <w:pPr>
        <w:spacing w:before="120"/>
      </w:pPr>
      <w:r>
        <w:t>In the course of 2017–18 the AAT finalised 220 applications for review of decisions of the VRB. Of these, 196 had been made under the VEA and 24 under the MRCA. The tables below set out the outcomes of review by the AAT over the last two years</w:t>
      </w:r>
      <w:r>
        <w:rPr>
          <w:rFonts w:ascii="TimesNewRomanPSMT" w:hAnsi="TimesNewRomanPSMT" w:cs="TimesNewRomanPSMT"/>
        </w:rPr>
        <w:t>.</w:t>
      </w:r>
    </w:p>
    <w:tbl>
      <w:tblPr>
        <w:tblStyle w:val="TableGrid"/>
        <w:tblW w:w="5000" w:type="pct"/>
        <w:tblBorders>
          <w:top w:val="single" w:sz="4" w:space="0" w:color="A39892"/>
          <w:left w:val="single" w:sz="4" w:space="0" w:color="A39892"/>
          <w:bottom w:val="single" w:sz="4" w:space="0" w:color="A39892"/>
          <w:right w:val="single" w:sz="4" w:space="0" w:color="A39892"/>
          <w:insideH w:val="single" w:sz="4" w:space="0" w:color="A39892"/>
          <w:insideV w:val="single" w:sz="4" w:space="0" w:color="A39892"/>
        </w:tblBorders>
        <w:tblLayout w:type="fixed"/>
        <w:tblCellMar>
          <w:left w:w="115" w:type="dxa"/>
          <w:right w:w="115" w:type="dxa"/>
        </w:tblCellMar>
        <w:tblLook w:val="04A0" w:firstRow="1" w:lastRow="0" w:firstColumn="1" w:lastColumn="0" w:noHBand="0" w:noVBand="1"/>
      </w:tblPr>
      <w:tblGrid>
        <w:gridCol w:w="4345"/>
        <w:gridCol w:w="1801"/>
        <w:gridCol w:w="1802"/>
      </w:tblGrid>
      <w:tr w:rsidR="00C50C5A" w:rsidTr="00A42141">
        <w:trPr>
          <w:cantSplit/>
        </w:trPr>
        <w:tc>
          <w:tcPr>
            <w:tcW w:w="4345" w:type="dxa"/>
            <w:tcBorders>
              <w:bottom w:val="single" w:sz="4" w:space="0" w:color="A39892"/>
            </w:tcBorders>
            <w:shd w:val="clear" w:color="auto" w:fill="A39892"/>
          </w:tcPr>
          <w:p w:rsidR="00C50C5A" w:rsidRDefault="00C50C5A" w:rsidP="00634A89">
            <w:pPr>
              <w:pStyle w:val="TableName"/>
              <w:spacing w:before="80" w:after="40"/>
            </w:pPr>
            <w:r>
              <w:t>Table 4: AAT review outcomes</w:t>
            </w:r>
          </w:p>
        </w:tc>
        <w:tc>
          <w:tcPr>
            <w:tcW w:w="1801" w:type="dxa"/>
            <w:tcBorders>
              <w:bottom w:val="single" w:sz="4" w:space="0" w:color="A39892"/>
            </w:tcBorders>
            <w:shd w:val="clear" w:color="auto" w:fill="A39892"/>
          </w:tcPr>
          <w:p w:rsidR="00C50C5A" w:rsidRDefault="00C50C5A" w:rsidP="00634A89">
            <w:pPr>
              <w:pStyle w:val="TableText"/>
              <w:spacing w:before="80" w:after="40"/>
            </w:pPr>
          </w:p>
        </w:tc>
        <w:tc>
          <w:tcPr>
            <w:tcW w:w="1802" w:type="dxa"/>
            <w:tcBorders>
              <w:bottom w:val="single" w:sz="4" w:space="0" w:color="A39892"/>
            </w:tcBorders>
            <w:shd w:val="clear" w:color="auto" w:fill="A39892"/>
          </w:tcPr>
          <w:p w:rsidR="00C50C5A" w:rsidRDefault="00C50C5A" w:rsidP="00634A89">
            <w:pPr>
              <w:pStyle w:val="TableText"/>
              <w:spacing w:before="80" w:after="40"/>
            </w:pPr>
          </w:p>
        </w:tc>
      </w:tr>
      <w:tr w:rsidR="00C50C5A" w:rsidTr="00A42141">
        <w:trPr>
          <w:cantSplit/>
        </w:trPr>
        <w:tc>
          <w:tcPr>
            <w:tcW w:w="4345" w:type="dxa"/>
            <w:shd w:val="clear" w:color="auto" w:fill="C6BDB6"/>
          </w:tcPr>
          <w:p w:rsidR="00C50C5A" w:rsidRDefault="00C50C5A" w:rsidP="00634A89">
            <w:pPr>
              <w:pStyle w:val="TableText"/>
              <w:spacing w:after="20"/>
            </w:pPr>
          </w:p>
        </w:tc>
        <w:tc>
          <w:tcPr>
            <w:tcW w:w="1801" w:type="dxa"/>
            <w:shd w:val="clear" w:color="auto" w:fill="C6BDB6"/>
          </w:tcPr>
          <w:p w:rsidR="00C50C5A" w:rsidRPr="00C50C5A" w:rsidRDefault="00C50C5A" w:rsidP="00634A89">
            <w:pPr>
              <w:pStyle w:val="TableText"/>
              <w:spacing w:after="20"/>
              <w:rPr>
                <w:b/>
              </w:rPr>
            </w:pPr>
            <w:r w:rsidRPr="00C50C5A">
              <w:rPr>
                <w:b/>
              </w:rPr>
              <w:t>2016–17</w:t>
            </w:r>
          </w:p>
        </w:tc>
        <w:tc>
          <w:tcPr>
            <w:tcW w:w="1802" w:type="dxa"/>
            <w:shd w:val="clear" w:color="auto" w:fill="C6BDB6"/>
          </w:tcPr>
          <w:p w:rsidR="00C50C5A" w:rsidRPr="00C50C5A" w:rsidRDefault="00C50C5A" w:rsidP="00634A89">
            <w:pPr>
              <w:pStyle w:val="TableText"/>
              <w:spacing w:after="20"/>
              <w:rPr>
                <w:b/>
              </w:rPr>
            </w:pPr>
            <w:r w:rsidRPr="00C50C5A">
              <w:rPr>
                <w:b/>
              </w:rPr>
              <w:t>2017–18</w:t>
            </w:r>
          </w:p>
        </w:tc>
      </w:tr>
      <w:tr w:rsidR="00C50C5A" w:rsidTr="00A42141">
        <w:trPr>
          <w:cantSplit/>
        </w:trPr>
        <w:tc>
          <w:tcPr>
            <w:tcW w:w="4345" w:type="dxa"/>
          </w:tcPr>
          <w:p w:rsidR="00C50C5A" w:rsidRDefault="00C50C5A" w:rsidP="00634A89">
            <w:pPr>
              <w:pStyle w:val="TableText"/>
              <w:spacing w:after="20"/>
            </w:pPr>
            <w:r>
              <w:t>Withdrawn or dismissed</w:t>
            </w:r>
          </w:p>
        </w:tc>
        <w:tc>
          <w:tcPr>
            <w:tcW w:w="1801" w:type="dxa"/>
          </w:tcPr>
          <w:p w:rsidR="00C50C5A" w:rsidRDefault="00C50C5A" w:rsidP="00634A89">
            <w:pPr>
              <w:pStyle w:val="TableText"/>
              <w:spacing w:after="20"/>
            </w:pPr>
            <w:r>
              <w:t>49.8%</w:t>
            </w:r>
          </w:p>
        </w:tc>
        <w:tc>
          <w:tcPr>
            <w:tcW w:w="1802" w:type="dxa"/>
          </w:tcPr>
          <w:p w:rsidR="00C50C5A" w:rsidRDefault="00C50C5A" w:rsidP="00634A89">
            <w:pPr>
              <w:pStyle w:val="TableText"/>
              <w:spacing w:after="20"/>
            </w:pPr>
            <w:r>
              <w:t>50.5%</w:t>
            </w:r>
          </w:p>
        </w:tc>
      </w:tr>
      <w:tr w:rsidR="00C50C5A" w:rsidTr="00A42141">
        <w:trPr>
          <w:cantSplit/>
        </w:trPr>
        <w:tc>
          <w:tcPr>
            <w:tcW w:w="4345" w:type="dxa"/>
          </w:tcPr>
          <w:p w:rsidR="00C50C5A" w:rsidRDefault="00C50C5A" w:rsidP="00634A89">
            <w:pPr>
              <w:pStyle w:val="TableText"/>
              <w:spacing w:after="20"/>
            </w:pPr>
            <w:r>
              <w:t>Conceded</w:t>
            </w:r>
          </w:p>
        </w:tc>
        <w:tc>
          <w:tcPr>
            <w:tcW w:w="1801" w:type="dxa"/>
          </w:tcPr>
          <w:p w:rsidR="00C50C5A" w:rsidRDefault="00C50C5A" w:rsidP="00634A89">
            <w:pPr>
              <w:pStyle w:val="TableText"/>
              <w:spacing w:after="20"/>
            </w:pPr>
            <w:r>
              <w:t>22.3%</w:t>
            </w:r>
          </w:p>
        </w:tc>
        <w:tc>
          <w:tcPr>
            <w:tcW w:w="1802" w:type="dxa"/>
          </w:tcPr>
          <w:p w:rsidR="00C50C5A" w:rsidRDefault="00C50C5A" w:rsidP="00634A89">
            <w:pPr>
              <w:pStyle w:val="TableText"/>
              <w:spacing w:after="20"/>
            </w:pPr>
            <w:r>
              <w:t>28.2%</w:t>
            </w:r>
          </w:p>
        </w:tc>
      </w:tr>
      <w:tr w:rsidR="00C50C5A" w:rsidTr="00A42141">
        <w:trPr>
          <w:cantSplit/>
        </w:trPr>
        <w:tc>
          <w:tcPr>
            <w:tcW w:w="4345" w:type="dxa"/>
          </w:tcPr>
          <w:p w:rsidR="00C50C5A" w:rsidRDefault="00C50C5A" w:rsidP="00634A89">
            <w:pPr>
              <w:pStyle w:val="TableText"/>
              <w:spacing w:after="20"/>
            </w:pPr>
            <w:r>
              <w:t>Finalised by hearing</w:t>
            </w:r>
          </w:p>
        </w:tc>
        <w:tc>
          <w:tcPr>
            <w:tcW w:w="1801" w:type="dxa"/>
          </w:tcPr>
          <w:p w:rsidR="00C50C5A" w:rsidRDefault="00C50C5A" w:rsidP="00634A89">
            <w:pPr>
              <w:pStyle w:val="TableText"/>
              <w:spacing w:after="20"/>
            </w:pPr>
            <w:r>
              <w:t>27.9%</w:t>
            </w:r>
          </w:p>
        </w:tc>
        <w:tc>
          <w:tcPr>
            <w:tcW w:w="1802" w:type="dxa"/>
          </w:tcPr>
          <w:p w:rsidR="00C50C5A" w:rsidRDefault="00C50C5A" w:rsidP="00634A89">
            <w:pPr>
              <w:pStyle w:val="TableText"/>
              <w:spacing w:after="20"/>
            </w:pPr>
            <w:r>
              <w:t>21.3%</w:t>
            </w:r>
          </w:p>
        </w:tc>
      </w:tr>
    </w:tbl>
    <w:p w:rsidR="00C50C5A" w:rsidRDefault="00C50C5A" w:rsidP="00595A90"/>
    <w:tbl>
      <w:tblPr>
        <w:tblStyle w:val="TableGrid"/>
        <w:tblW w:w="5000" w:type="pct"/>
        <w:tblBorders>
          <w:top w:val="single" w:sz="4" w:space="0" w:color="A39892"/>
          <w:left w:val="single" w:sz="4" w:space="0" w:color="A39892"/>
          <w:bottom w:val="single" w:sz="4" w:space="0" w:color="A39892"/>
          <w:right w:val="single" w:sz="4" w:space="0" w:color="A39892"/>
          <w:insideH w:val="single" w:sz="4" w:space="0" w:color="A39892"/>
          <w:insideV w:val="single" w:sz="4" w:space="0" w:color="A39892"/>
        </w:tblBorders>
        <w:tblLayout w:type="fixed"/>
        <w:tblCellMar>
          <w:left w:w="115" w:type="dxa"/>
          <w:right w:w="115" w:type="dxa"/>
        </w:tblCellMar>
        <w:tblLook w:val="04A0" w:firstRow="1" w:lastRow="0" w:firstColumn="1" w:lastColumn="0" w:noHBand="0" w:noVBand="1"/>
      </w:tblPr>
      <w:tblGrid>
        <w:gridCol w:w="4345"/>
        <w:gridCol w:w="1801"/>
        <w:gridCol w:w="1802"/>
      </w:tblGrid>
      <w:tr w:rsidR="00C50C5A" w:rsidTr="00A42141">
        <w:trPr>
          <w:cantSplit/>
        </w:trPr>
        <w:tc>
          <w:tcPr>
            <w:tcW w:w="4345" w:type="dxa"/>
            <w:tcBorders>
              <w:bottom w:val="single" w:sz="4" w:space="0" w:color="A39892"/>
            </w:tcBorders>
            <w:shd w:val="clear" w:color="auto" w:fill="A39892"/>
          </w:tcPr>
          <w:p w:rsidR="00C50C5A" w:rsidRDefault="00C50C5A" w:rsidP="00634A89">
            <w:pPr>
              <w:pStyle w:val="TableName"/>
              <w:spacing w:before="80" w:after="40"/>
            </w:pPr>
            <w:r>
              <w:t>Table 5: Applications for review by the AAT</w:t>
            </w:r>
          </w:p>
        </w:tc>
        <w:tc>
          <w:tcPr>
            <w:tcW w:w="1801" w:type="dxa"/>
            <w:tcBorders>
              <w:bottom w:val="single" w:sz="4" w:space="0" w:color="A39892"/>
            </w:tcBorders>
            <w:shd w:val="clear" w:color="auto" w:fill="A39892"/>
          </w:tcPr>
          <w:p w:rsidR="00C50C5A" w:rsidRDefault="00C50C5A" w:rsidP="00634A89">
            <w:pPr>
              <w:pStyle w:val="TableText"/>
              <w:spacing w:before="80" w:after="40"/>
            </w:pPr>
          </w:p>
        </w:tc>
        <w:tc>
          <w:tcPr>
            <w:tcW w:w="1802" w:type="dxa"/>
            <w:tcBorders>
              <w:bottom w:val="single" w:sz="4" w:space="0" w:color="A39892"/>
            </w:tcBorders>
            <w:shd w:val="clear" w:color="auto" w:fill="A39892"/>
          </w:tcPr>
          <w:p w:rsidR="00C50C5A" w:rsidRDefault="00C50C5A" w:rsidP="00634A89">
            <w:pPr>
              <w:pStyle w:val="TableText"/>
              <w:spacing w:before="80" w:after="40"/>
            </w:pPr>
          </w:p>
        </w:tc>
      </w:tr>
      <w:tr w:rsidR="00C50C5A" w:rsidTr="00A42141">
        <w:trPr>
          <w:cantSplit/>
        </w:trPr>
        <w:tc>
          <w:tcPr>
            <w:tcW w:w="4345" w:type="dxa"/>
            <w:shd w:val="clear" w:color="auto" w:fill="C6BDB6"/>
          </w:tcPr>
          <w:p w:rsidR="00C50C5A" w:rsidRDefault="00C50C5A" w:rsidP="00634A89">
            <w:pPr>
              <w:pStyle w:val="TableText"/>
              <w:spacing w:after="20"/>
            </w:pPr>
          </w:p>
        </w:tc>
        <w:tc>
          <w:tcPr>
            <w:tcW w:w="1801" w:type="dxa"/>
            <w:shd w:val="clear" w:color="auto" w:fill="C6BDB6"/>
          </w:tcPr>
          <w:p w:rsidR="00C50C5A" w:rsidRPr="00C50C5A" w:rsidRDefault="00C50C5A" w:rsidP="00634A89">
            <w:pPr>
              <w:pStyle w:val="TableText"/>
              <w:spacing w:after="20"/>
              <w:rPr>
                <w:b/>
              </w:rPr>
            </w:pPr>
            <w:r w:rsidRPr="00C50C5A">
              <w:rPr>
                <w:b/>
              </w:rPr>
              <w:t>2016–17</w:t>
            </w:r>
          </w:p>
        </w:tc>
        <w:tc>
          <w:tcPr>
            <w:tcW w:w="1802" w:type="dxa"/>
            <w:shd w:val="clear" w:color="auto" w:fill="C6BDB6"/>
          </w:tcPr>
          <w:p w:rsidR="00C50C5A" w:rsidRPr="00C50C5A" w:rsidRDefault="00C50C5A" w:rsidP="00634A89">
            <w:pPr>
              <w:pStyle w:val="TableText"/>
              <w:spacing w:after="20"/>
              <w:rPr>
                <w:b/>
              </w:rPr>
            </w:pPr>
            <w:r w:rsidRPr="00C50C5A">
              <w:rPr>
                <w:b/>
              </w:rPr>
              <w:t>2017–18</w:t>
            </w:r>
          </w:p>
        </w:tc>
      </w:tr>
      <w:tr w:rsidR="00C50C5A" w:rsidTr="00A42141">
        <w:trPr>
          <w:cantSplit/>
        </w:trPr>
        <w:tc>
          <w:tcPr>
            <w:tcW w:w="4345" w:type="dxa"/>
          </w:tcPr>
          <w:p w:rsidR="00C50C5A" w:rsidRDefault="00C50C5A" w:rsidP="00634A89">
            <w:pPr>
              <w:pStyle w:val="TableText"/>
              <w:spacing w:after="20"/>
            </w:pPr>
            <w:r>
              <w:t>Affirmed</w:t>
            </w:r>
          </w:p>
        </w:tc>
        <w:tc>
          <w:tcPr>
            <w:tcW w:w="1801" w:type="dxa"/>
          </w:tcPr>
          <w:p w:rsidR="00C50C5A" w:rsidRDefault="00C50C5A" w:rsidP="00634A89">
            <w:pPr>
              <w:pStyle w:val="TableText"/>
              <w:spacing w:after="20"/>
            </w:pPr>
            <w:r>
              <w:t>39</w:t>
            </w:r>
          </w:p>
        </w:tc>
        <w:tc>
          <w:tcPr>
            <w:tcW w:w="1802" w:type="dxa"/>
          </w:tcPr>
          <w:p w:rsidR="00C50C5A" w:rsidRDefault="00C50C5A" w:rsidP="00634A89">
            <w:pPr>
              <w:pStyle w:val="TableText"/>
              <w:spacing w:after="20"/>
            </w:pPr>
            <w:r>
              <w:t>39</w:t>
            </w:r>
          </w:p>
        </w:tc>
      </w:tr>
      <w:tr w:rsidR="00C50C5A" w:rsidTr="00A42141">
        <w:trPr>
          <w:cantSplit/>
        </w:trPr>
        <w:tc>
          <w:tcPr>
            <w:tcW w:w="4345" w:type="dxa"/>
          </w:tcPr>
          <w:p w:rsidR="00C50C5A" w:rsidRDefault="00C50C5A" w:rsidP="00634A89">
            <w:pPr>
              <w:pStyle w:val="TableText"/>
              <w:spacing w:after="20"/>
            </w:pPr>
          </w:p>
        </w:tc>
        <w:tc>
          <w:tcPr>
            <w:tcW w:w="1801" w:type="dxa"/>
          </w:tcPr>
          <w:p w:rsidR="00C50C5A" w:rsidRDefault="00C50C5A" w:rsidP="00634A89">
            <w:pPr>
              <w:pStyle w:val="TableText"/>
              <w:spacing w:after="20"/>
            </w:pPr>
            <w:r>
              <w:t>66.1%</w:t>
            </w:r>
          </w:p>
        </w:tc>
        <w:tc>
          <w:tcPr>
            <w:tcW w:w="1802" w:type="dxa"/>
          </w:tcPr>
          <w:p w:rsidR="00C50C5A" w:rsidRDefault="00C50C5A" w:rsidP="00634A89">
            <w:pPr>
              <w:pStyle w:val="TableText"/>
              <w:spacing w:after="20"/>
            </w:pPr>
            <w:r>
              <w:t>33.9%</w:t>
            </w:r>
          </w:p>
        </w:tc>
      </w:tr>
      <w:tr w:rsidR="00C50C5A" w:rsidTr="00A42141">
        <w:trPr>
          <w:cantSplit/>
        </w:trPr>
        <w:tc>
          <w:tcPr>
            <w:tcW w:w="4345" w:type="dxa"/>
          </w:tcPr>
          <w:p w:rsidR="00C50C5A" w:rsidRDefault="00C50C5A" w:rsidP="00634A89">
            <w:pPr>
              <w:pStyle w:val="TableText"/>
              <w:spacing w:after="20"/>
            </w:pPr>
            <w:r>
              <w:t>Varied or set aside</w:t>
            </w:r>
          </w:p>
        </w:tc>
        <w:tc>
          <w:tcPr>
            <w:tcW w:w="1801" w:type="dxa"/>
          </w:tcPr>
          <w:p w:rsidR="00C50C5A" w:rsidRDefault="00C50C5A" w:rsidP="00634A89">
            <w:pPr>
              <w:pStyle w:val="TableText"/>
              <w:spacing w:after="20"/>
            </w:pPr>
            <w:r>
              <w:t>20</w:t>
            </w:r>
          </w:p>
        </w:tc>
        <w:tc>
          <w:tcPr>
            <w:tcW w:w="1802" w:type="dxa"/>
          </w:tcPr>
          <w:p w:rsidR="00C50C5A" w:rsidRDefault="00C50C5A" w:rsidP="00634A89">
            <w:pPr>
              <w:pStyle w:val="TableText"/>
              <w:spacing w:after="20"/>
            </w:pPr>
            <w:r>
              <w:t>76</w:t>
            </w:r>
          </w:p>
        </w:tc>
      </w:tr>
      <w:tr w:rsidR="00C50C5A" w:rsidTr="00A42141">
        <w:trPr>
          <w:cantSplit/>
        </w:trPr>
        <w:tc>
          <w:tcPr>
            <w:tcW w:w="4345" w:type="dxa"/>
          </w:tcPr>
          <w:p w:rsidR="00C50C5A" w:rsidRDefault="00C50C5A" w:rsidP="00634A89">
            <w:pPr>
              <w:pStyle w:val="TableText"/>
              <w:spacing w:after="20"/>
            </w:pPr>
          </w:p>
        </w:tc>
        <w:tc>
          <w:tcPr>
            <w:tcW w:w="1801" w:type="dxa"/>
          </w:tcPr>
          <w:p w:rsidR="00C50C5A" w:rsidRDefault="00C50C5A" w:rsidP="00634A89">
            <w:pPr>
              <w:pStyle w:val="TableText"/>
              <w:spacing w:after="20"/>
            </w:pPr>
            <w:r>
              <w:t>33.9%</w:t>
            </w:r>
          </w:p>
        </w:tc>
        <w:tc>
          <w:tcPr>
            <w:tcW w:w="1802" w:type="dxa"/>
          </w:tcPr>
          <w:p w:rsidR="00C50C5A" w:rsidRDefault="00C50C5A" w:rsidP="00634A89">
            <w:pPr>
              <w:pStyle w:val="TableText"/>
              <w:spacing w:after="20"/>
            </w:pPr>
            <w:r>
              <w:t>66.1%</w:t>
            </w:r>
          </w:p>
        </w:tc>
      </w:tr>
    </w:tbl>
    <w:p w:rsidR="004B5B6A" w:rsidRDefault="004B5B6A" w:rsidP="004B5B6A">
      <w:pPr>
        <w:spacing w:before="120"/>
      </w:pPr>
      <w:r>
        <w:t>In respect of the VRB decisions that were set aside by the AAT, in the majority of these cases there appears to have been evidence before the AAT that was not before the VRB.</w:t>
      </w:r>
    </w:p>
    <w:p w:rsidR="004B5B6A" w:rsidRDefault="004B5B6A" w:rsidP="004B5B6A">
      <w:pPr>
        <w:pStyle w:val="Heading4"/>
      </w:pPr>
      <w:r>
        <w:t>Review of MRCA Decisions</w:t>
      </w:r>
    </w:p>
    <w:p w:rsidR="004B5B6A" w:rsidRDefault="004B5B6A" w:rsidP="004B5B6A">
      <w:r>
        <w:t>During 2017–18 there were 24 matters</w:t>
      </w:r>
      <w:r w:rsidR="00660120">
        <w:fldChar w:fldCharType="begin"/>
      </w:r>
      <w:r w:rsidR="00660120">
        <w:instrText xml:space="preserve"> XE "</w:instrText>
      </w:r>
      <w:r w:rsidR="00660120" w:rsidRPr="003924C2">
        <w:instrText>matters decided</w:instrText>
      </w:r>
      <w:r w:rsidR="00660120">
        <w:instrText xml:space="preserve">" </w:instrText>
      </w:r>
      <w:r w:rsidR="00660120">
        <w:fldChar w:fldCharType="end"/>
      </w:r>
      <w:r>
        <w:t xml:space="preserve"> finalised in the AAT concerning appeals from the VRB under the MRCA. Ten were set aside by consent or varied, one was affirmed by decision of the Tribunal following a hearing, thirteen were withdrawn by the applicant, none were affirmed by consent, none were set aside by decision of the Tribunal following a hearing, and none were dismissed by the Tribunal.</w:t>
      </w:r>
    </w:p>
    <w:p w:rsidR="00C50C5A" w:rsidRDefault="004B5B6A" w:rsidP="004B5B6A">
      <w:r>
        <w:t>A summary of relevant court decisions are set out in Appendix 1 and other forms of external scrutiny of VRB decisions are outlined in Appendix 2.</w:t>
      </w:r>
    </w:p>
    <w:bookmarkEnd w:id="14"/>
    <w:bookmarkEnd w:id="17"/>
    <w:p w:rsidR="005200E8" w:rsidRDefault="005200E8" w:rsidP="005200E8">
      <w:pPr>
        <w:pStyle w:val="Heading3"/>
      </w:pPr>
      <w:r>
        <w:lastRenderedPageBreak/>
        <w:t>OUTCOME 3:</w:t>
      </w:r>
      <w:r>
        <w:br/>
        <w:t>COMPLETE ALL PROCESS STAGES UNDER VRB CONTROL ON A TIMELY BASIS</w:t>
      </w:r>
    </w:p>
    <w:p w:rsidR="005200E8" w:rsidRDefault="005200E8" w:rsidP="005200E8">
      <w:pPr>
        <w:pStyle w:val="Heading4"/>
      </w:pPr>
      <w:r>
        <w:t>Processing times</w:t>
      </w:r>
      <w:r w:rsidR="001D1DCA">
        <w:fldChar w:fldCharType="begin"/>
      </w:r>
      <w:r w:rsidR="001D1DCA">
        <w:instrText xml:space="preserve"> XE "</w:instrText>
      </w:r>
      <w:r w:rsidR="001D1DCA" w:rsidRPr="002D7689">
        <w:instrText>processing time</w:instrText>
      </w:r>
      <w:r w:rsidR="001D1DCA">
        <w:instrText xml:space="preserve">" </w:instrText>
      </w:r>
      <w:r w:rsidR="001D1DCA">
        <w:fldChar w:fldCharType="end"/>
      </w:r>
      <w:r>
        <w:t xml:space="preserve"> for non-ADR program cases</w:t>
      </w:r>
    </w:p>
    <w:p w:rsidR="005200E8" w:rsidRDefault="005200E8" w:rsidP="005200E8">
      <w:r>
        <w:t>Applications for review proceed through a number of stages from lodgement to finalisation. Not all applications necessarily proceed through all stages. While some are primarily under the control of the VRB, others fall largely under the control of DVA or the applicant (or representative). Stages largely under the control of DVA are:</w:t>
      </w:r>
    </w:p>
    <w:p w:rsidR="005200E8" w:rsidRDefault="005200E8" w:rsidP="005200E8">
      <w:pPr>
        <w:pStyle w:val="Bullet"/>
      </w:pPr>
      <w:r>
        <w:t>from receipt of the application by the Department to receipt of the s137 report by the VRB</w:t>
      </w:r>
    </w:p>
    <w:p w:rsidR="005200E8" w:rsidRDefault="005200E8" w:rsidP="005200E8">
      <w:pPr>
        <w:pStyle w:val="Bullet"/>
      </w:pPr>
      <w:r>
        <w:t>while obtaining information requested by the Registrar</w:t>
      </w:r>
      <w:r w:rsidR="001D1DCA">
        <w:fldChar w:fldCharType="begin"/>
      </w:r>
      <w:r w:rsidR="001D1DCA">
        <w:instrText xml:space="preserve"> XE "</w:instrText>
      </w:r>
      <w:r w:rsidR="001D1DCA" w:rsidRPr="002D7689">
        <w:instrText>Registrars</w:instrText>
      </w:r>
      <w:r w:rsidR="001D1DCA">
        <w:instrText xml:space="preserve">" </w:instrText>
      </w:r>
      <w:r w:rsidR="001D1DCA">
        <w:fldChar w:fldCharType="end"/>
      </w:r>
      <w:r>
        <w:t xml:space="preserve"> under s148(6A) of the VEA</w:t>
      </w:r>
    </w:p>
    <w:p w:rsidR="005200E8" w:rsidRDefault="005200E8" w:rsidP="005200E8">
      <w:pPr>
        <w:pStyle w:val="Bullet"/>
      </w:pPr>
      <w:r>
        <w:t>while obtaining information requested by the VRB after adjournment of a hearing under s152 of the VEA.</w:t>
      </w:r>
    </w:p>
    <w:p w:rsidR="00C50C5A" w:rsidRDefault="005200E8" w:rsidP="005200E8">
      <w:r>
        <w:t>In 2017–18 the average time taken from lodgement of an application to receipt of a s137 report was 42.8 days. This compares with 51.1 days in 2016–17.</w:t>
      </w:r>
    </w:p>
    <w:p w:rsidR="005200E8" w:rsidRDefault="005200E8" w:rsidP="005200E8">
      <w:r>
        <w:t>During 2017–18, 950 requests for further information were completed by DVA, with an average time for completion of 128.8 days. Of these, 829 requests had been made by Registrars, with an average time for completion of 123.6 days; and 121 requests had been made following adjournments, with an average time for completion of 164.5 days. These figures compare with 912 requests completed in 2016–17, at an average time of 130 days. Of these, 762 requests had been made by Registrars, at an average time for completion of 121.8 days; and 150 requests had been made following adjournments, at an average time for completion of 171.6 days.</w:t>
      </w:r>
    </w:p>
    <w:p w:rsidR="005200E8" w:rsidRDefault="005200E8" w:rsidP="005200E8">
      <w:bookmarkStart w:id="18" w:name="TOC_cor"/>
      <w:r>
        <w:t>Stages largely under the control of the applicant (or representative) are:</w:t>
      </w:r>
    </w:p>
    <w:p w:rsidR="005200E8" w:rsidRDefault="005200E8" w:rsidP="005200E8">
      <w:pPr>
        <w:pStyle w:val="Bullet"/>
      </w:pPr>
      <w:r>
        <w:t>from sending a s148 notice by the VRB to the applicant to its return</w:t>
      </w:r>
    </w:p>
    <w:p w:rsidR="005200E8" w:rsidRDefault="005200E8" w:rsidP="005200E8">
      <w:pPr>
        <w:pStyle w:val="Bullet"/>
      </w:pPr>
      <w:r>
        <w:t>from sending a Certificate of Readiness</w:t>
      </w:r>
      <w:r w:rsidR="008D2F5D">
        <w:fldChar w:fldCharType="begin"/>
      </w:r>
      <w:r w:rsidR="008D2F5D">
        <w:instrText xml:space="preserve"> XE "</w:instrText>
      </w:r>
      <w:r w:rsidR="008D2F5D" w:rsidRPr="003924C2">
        <w:instrText>Certificate of Readiness</w:instrText>
      </w:r>
      <w:r w:rsidR="008D2F5D">
        <w:instrText xml:space="preserve">" \r "TOC_cor" </w:instrText>
      </w:r>
      <w:r w:rsidR="008D2F5D">
        <w:fldChar w:fldCharType="end"/>
      </w:r>
      <w:r>
        <w:t xml:space="preserve"> (COR) from the VRB to the applicant to its return.</w:t>
      </w:r>
    </w:p>
    <w:p w:rsidR="005200E8" w:rsidRDefault="005200E8" w:rsidP="005200E8">
      <w:r>
        <w:t>While applications are in these stages, Case Managers regularly follow them up with the appropriate party to ensure that they are progressed as rapidly as possible.</w:t>
      </w:r>
    </w:p>
    <w:p w:rsidR="005200E8" w:rsidRDefault="005200E8" w:rsidP="005200E8">
      <w:r>
        <w:t>During 2017–18 the average time to complete the former stage was 40.9 days. In 2016–17 it was 34.6 days. During 2017–18 the average time to complete the latter stage was 298.7 days. In 2016–17 the average time to complete the latter stage was 299 days.</w:t>
      </w:r>
    </w:p>
    <w:p w:rsidR="005200E8" w:rsidRDefault="005200E8" w:rsidP="005200E8">
      <w:r>
        <w:t>Stages primarily under the control of the VRB are:</w:t>
      </w:r>
    </w:p>
    <w:p w:rsidR="005200E8" w:rsidRDefault="005200E8" w:rsidP="005200E8">
      <w:pPr>
        <w:pStyle w:val="Bullet"/>
      </w:pPr>
      <w:r>
        <w:t>from receipt of the s137 report from the Department until a s148 notice is sent to the applicant</w:t>
      </w:r>
    </w:p>
    <w:p w:rsidR="005200E8" w:rsidRDefault="005200E8" w:rsidP="005200E8">
      <w:pPr>
        <w:pStyle w:val="Bullet"/>
      </w:pPr>
      <w:r>
        <w:t>from receipt of a Certificate of Readiness until the hearing</w:t>
      </w:r>
    </w:p>
    <w:p w:rsidR="005200E8" w:rsidRDefault="005200E8" w:rsidP="005200E8">
      <w:pPr>
        <w:pStyle w:val="Bullet"/>
      </w:pPr>
      <w:r>
        <w:t>from the hearing until publication of the decision and reasons</w:t>
      </w:r>
      <w:r w:rsidR="001D1DCA">
        <w:fldChar w:fldCharType="begin"/>
      </w:r>
      <w:r w:rsidR="001D1DCA">
        <w:instrText xml:space="preserve"> XE "</w:instrText>
      </w:r>
      <w:r w:rsidR="001D1DCA" w:rsidRPr="002D7689">
        <w:instrText>reasons</w:instrText>
      </w:r>
      <w:r w:rsidR="001D1DCA">
        <w:instrText xml:space="preserve">" </w:instrText>
      </w:r>
      <w:r w:rsidR="001D1DCA">
        <w:fldChar w:fldCharType="end"/>
      </w:r>
      <w:r>
        <w:t>.</w:t>
      </w:r>
    </w:p>
    <w:p w:rsidR="005200E8" w:rsidRDefault="005200E8" w:rsidP="005200E8">
      <w:r>
        <w:t>These three stages are considered in more detail below.</w:t>
      </w:r>
    </w:p>
    <w:p w:rsidR="005200E8" w:rsidRDefault="005200E8" w:rsidP="005200E8">
      <w:pPr>
        <w:pStyle w:val="Heading4"/>
      </w:pPr>
      <w:r>
        <w:t>From Receipt of s137 Report to s148 Notice</w:t>
      </w:r>
    </w:p>
    <w:p w:rsidR="005200E8" w:rsidRDefault="005200E8" w:rsidP="005200E8">
      <w:r>
        <w:t xml:space="preserve">When the s137 Report is received, a Case Manager examines the documents in the report for completeness and accuracy. If it appears that relevant documents are missing or incomplete, DVA is asked to rectify it. Following this preliminary check, a s148 notice is sent to the applicant seeking </w:t>
      </w:r>
      <w:r>
        <w:lastRenderedPageBreak/>
        <w:t>advice about whether the person wishes to be represented, attend the hearing, and is ready to proceed to a hearing.</w:t>
      </w:r>
    </w:p>
    <w:p w:rsidR="005200E8" w:rsidRDefault="005200E8" w:rsidP="005200E8">
      <w:r>
        <w:t>During 2017–18 the average time for the VRB to complete this stage was 17.9 days. In 2016–17 the average time was 17.3 days. The increase in time taken to process at this stage was due to a high number of deficient section 137 reports</w:t>
      </w:r>
      <w:r w:rsidR="0005789C">
        <w:fldChar w:fldCharType="begin"/>
      </w:r>
      <w:r w:rsidR="0005789C">
        <w:instrText xml:space="preserve"> XE "</w:instrText>
      </w:r>
      <w:r w:rsidR="0005789C" w:rsidRPr="002D7689">
        <w:instrText>section 137 report</w:instrText>
      </w:r>
      <w:r w:rsidR="0005789C">
        <w:instrText xml:space="preserve">" </w:instrText>
      </w:r>
      <w:r w:rsidR="0005789C">
        <w:fldChar w:fldCharType="end"/>
      </w:r>
      <w:r>
        <w:t xml:space="preserve"> that required remedial action by the respondent, prior to a s148 notice being issued. Some remedial action extended to the requirement for directions hearings.</w:t>
      </w:r>
    </w:p>
    <w:p w:rsidR="00FB5743" w:rsidRDefault="00FB5743" w:rsidP="00FB5743">
      <w:pPr>
        <w:pStyle w:val="Heading4"/>
      </w:pPr>
      <w:r>
        <w:t>From Receipt of Certificate of Readiness to Hearing</w:t>
      </w:r>
    </w:p>
    <w:p w:rsidR="00FB5743" w:rsidRDefault="00FB5743" w:rsidP="00FB5743">
      <w:r>
        <w:t>The VRB ensures that all stages primarily under its control are dealt with as expeditiously as possible. When the VRB receives a Certificate of Readiness from an applicant or representative, the s137 Report is again checked for completeness and DVA records are examined to determine whether there is further material that should be added to the Report. Depending on the availability of the applicant and his or her representative, the application is listed for hearing in the next available hearing slot, based on order of receipt of the Certificate of Readiness unless there are reasons</w:t>
      </w:r>
      <w:r w:rsidR="001D1DCA">
        <w:fldChar w:fldCharType="begin"/>
      </w:r>
      <w:r w:rsidR="001D1DCA">
        <w:instrText xml:space="preserve"> XE "</w:instrText>
      </w:r>
      <w:r w:rsidR="001D1DCA" w:rsidRPr="002D7689">
        <w:instrText>reasons</w:instrText>
      </w:r>
      <w:r w:rsidR="001D1DCA">
        <w:instrText xml:space="preserve">" </w:instrText>
      </w:r>
      <w:r w:rsidR="001D1DCA">
        <w:fldChar w:fldCharType="end"/>
      </w:r>
      <w:r>
        <w:t xml:space="preserve"> to treat the application with greater urgency. Generally, the VRB seeks to give applicants and their representatives</w:t>
      </w:r>
      <w:r w:rsidR="0005789C">
        <w:fldChar w:fldCharType="begin"/>
      </w:r>
      <w:r w:rsidR="0005789C">
        <w:instrText xml:space="preserve"> XE "</w:instrText>
      </w:r>
      <w:r w:rsidR="0005789C" w:rsidRPr="002D7689">
        <w:instrText>representatives</w:instrText>
      </w:r>
      <w:r w:rsidR="0005789C">
        <w:instrText xml:space="preserve">" </w:instrText>
      </w:r>
      <w:r w:rsidR="0005789C">
        <w:fldChar w:fldCharType="end"/>
      </w:r>
      <w:r>
        <w:t xml:space="preserve"> three or four weeks’ notice of their hearing date and time. In a significant number of cases there are restrictions on the availability of representatives, with the result that many cases are not available for listing for some weeks from when the Certificate of Readiness is received.</w:t>
      </w:r>
    </w:p>
    <w:p w:rsidR="00FB5743" w:rsidRDefault="00FB5743" w:rsidP="00FB5743">
      <w:r>
        <w:t>During 2017–18 the average time for the VRB to complete this stage was 104.1 days. In 2016–17 the average time was 99.9 days.</w:t>
      </w:r>
    </w:p>
    <w:p w:rsidR="005200E8" w:rsidRDefault="00FB5743" w:rsidP="00FB5743">
      <w:r>
        <w:t>Table 7 below shows the average times taken to process the various stages, noted above.</w:t>
      </w:r>
    </w:p>
    <w:p w:rsidR="00FB5743" w:rsidRDefault="00FB5743" w:rsidP="00FB5743">
      <w:pPr>
        <w:pStyle w:val="Heading4"/>
      </w:pPr>
      <w:bookmarkStart w:id="19" w:name="adjournments"/>
      <w:r>
        <w:t>At hearing – adjournments</w:t>
      </w:r>
      <w:r w:rsidR="00EC32B8">
        <w:fldChar w:fldCharType="begin"/>
      </w:r>
      <w:r w:rsidR="00EC32B8">
        <w:instrText xml:space="preserve"> XE "</w:instrText>
      </w:r>
      <w:r w:rsidR="00EC32B8" w:rsidRPr="003924C2">
        <w:instrText>adjournments</w:instrText>
      </w:r>
      <w:r w:rsidR="00EC32B8">
        <w:instrText xml:space="preserve">" \r "adjournments" </w:instrText>
      </w:r>
      <w:r w:rsidR="00EC32B8">
        <w:fldChar w:fldCharType="end"/>
      </w:r>
    </w:p>
    <w:p w:rsidR="00FB5743" w:rsidRDefault="00FB5743" w:rsidP="00FB5743">
      <w:r>
        <w:t>The VEA confers two powers</w:t>
      </w:r>
      <w:r w:rsidR="001D1DCA">
        <w:fldChar w:fldCharType="begin"/>
      </w:r>
      <w:r w:rsidR="001D1DCA">
        <w:instrText xml:space="preserve"> XE "</w:instrText>
      </w:r>
      <w:r w:rsidR="001D1DCA" w:rsidRPr="003924C2">
        <w:instrText>powers</w:instrText>
      </w:r>
      <w:r w:rsidR="001D1DCA">
        <w:instrText xml:space="preserve">" </w:instrText>
      </w:r>
      <w:r w:rsidR="001D1DCA">
        <w:fldChar w:fldCharType="end"/>
      </w:r>
      <w:r>
        <w:t xml:space="preserve"> of adjournment. The first (s151) is a general power exercisable at the VRB’s discretion; the second (s152) must be exercised if the VRB decides to seek further information from the Secretary of DVA or the MRCC.</w:t>
      </w:r>
    </w:p>
    <w:p w:rsidR="00FB5743" w:rsidRDefault="00FB5743" w:rsidP="00FB5743">
      <w:r>
        <w:t>Broadly speaking, the VRB will adjourn a hearing in either of two situations – if it believes in the interests of procedural fairness that either or both of the parties to the hearing should have an opportunity to obtain further evidence or to consider their position in relation to issues or material before the VRB (s151 cases); or if it considers that there is or may be other evidence not then available to it which is relevant to, and necessary for, a proper determination of the points in issue (s152 cases).</w:t>
      </w:r>
    </w:p>
    <w:p w:rsidR="00FB5743" w:rsidRDefault="00FB5743" w:rsidP="00FB5743">
      <w:r>
        <w:t>It is accepted that some adjournments will inevitably occur. On occasions, issues previously not recognised by the parties will only become apparent during the course of a hearing, or a witness may cast his or her evidence in a way that places quite a different complexion on the probative nature of the material. The aim of the VRB, and equally of the parties to the hearings, must be to confine adjournments to those that are inevitable – that is, the only hearings that should be adjourned are those where, with adequate case preparation, the representative could not reasonably have foreseen the eventual necessity for such an adjournment. This is particularly important where a representative has signed a Certificate of Readiness for hearing or where a case is certified as ready for hearing following correspondence pursuant to the dismissal legislation. A request for hearing should only be made if a party is genuinely ready to proceed to a hearing. Any subsequent request for an adjournment may suggest in some circumstances that the certification of readiness for a hearing was not genuine. This would be an unacceptable practice.</w:t>
      </w:r>
    </w:p>
    <w:p w:rsidR="00151CF7" w:rsidRDefault="00151CF7" w:rsidP="00151CF7">
      <w:r>
        <w:t>If an applicant or representative is experiencing difficulties in obtaining relevant material they may approach a Registrar</w:t>
      </w:r>
      <w:r w:rsidR="001D1DCA">
        <w:fldChar w:fldCharType="begin"/>
      </w:r>
      <w:r w:rsidR="001D1DCA">
        <w:instrText xml:space="preserve"> XE "</w:instrText>
      </w:r>
      <w:r w:rsidR="001D1DCA" w:rsidRPr="002D7689">
        <w:instrText>Registrars</w:instrText>
      </w:r>
      <w:r w:rsidR="001D1DCA">
        <w:instrText xml:space="preserve">" </w:instrText>
      </w:r>
      <w:r w:rsidR="001D1DCA">
        <w:fldChar w:fldCharType="end"/>
      </w:r>
      <w:r>
        <w:t xml:space="preserve"> who, if he or she considers it appropriate, may exercise their power under s148(6A) of the VEA to request the Secretary of DVA or the MRCC to conduct an investigation to obtain the relevant material. This is the preferable course to asking the VRB to adjourn under s152 and seek the information – which the VRB may or may not agree to do.</w:t>
      </w:r>
    </w:p>
    <w:p w:rsidR="00151CF7" w:rsidRDefault="00151CF7" w:rsidP="00151CF7">
      <w:r>
        <w:lastRenderedPageBreak/>
        <w:t>In 2017–18, the overall number of adjournments decreased from 12.2 per cent in 2016–17 to 7.8 per cent in 2017–18. For this financial year, 39 applications were adjourned under section 151, representing 3.5 per cent of applications heard. There were 47 applications adjourned under section 152, representing 4.2 per cent of the applications heard. In total, there were 86 adjournments of both kinds, representing 7.8 per cent of the total applications heard.</w:t>
      </w:r>
    </w:p>
    <w:p w:rsidR="00FB5743" w:rsidRDefault="00151CF7" w:rsidP="00151CF7">
      <w:r>
        <w:t>By way of contrast there were 95 applications adjourned under section 151 in the previous financial year, representing 7.1 per cent of applications heard. There were also 69 section 152 adjournments, which represented 5.2 per cent of the total applications heard. In total for 2016–17 there were 164 adjournments of both varieties, representing 12.2 per cent of the total applications heard.</w:t>
      </w:r>
    </w:p>
    <w:tbl>
      <w:tblPr>
        <w:tblW w:w="5000" w:type="pct"/>
        <w:tblBorders>
          <w:top w:val="single" w:sz="4" w:space="0" w:color="A39892"/>
          <w:left w:val="single" w:sz="4" w:space="0" w:color="A39892"/>
          <w:bottom w:val="single" w:sz="4" w:space="0" w:color="A39892"/>
          <w:right w:val="single" w:sz="4" w:space="0" w:color="A39892"/>
          <w:insideH w:val="single" w:sz="4" w:space="0" w:color="A39892"/>
          <w:insideV w:val="single" w:sz="4" w:space="0" w:color="A39892"/>
        </w:tblBorders>
        <w:tblLayout w:type="fixed"/>
        <w:tblCellMar>
          <w:left w:w="115" w:type="dxa"/>
          <w:right w:w="115" w:type="dxa"/>
        </w:tblCellMar>
        <w:tblLook w:val="0000" w:firstRow="0" w:lastRow="0" w:firstColumn="0" w:lastColumn="0" w:noHBand="0" w:noVBand="0"/>
      </w:tblPr>
      <w:tblGrid>
        <w:gridCol w:w="1915"/>
        <w:gridCol w:w="990"/>
        <w:gridCol w:w="840"/>
        <w:gridCol w:w="841"/>
        <w:gridCol w:w="840"/>
        <w:gridCol w:w="841"/>
        <w:gridCol w:w="840"/>
        <w:gridCol w:w="841"/>
      </w:tblGrid>
      <w:tr w:rsidR="00B0434A" w:rsidRPr="00797E5C" w:rsidTr="00A42141">
        <w:trPr>
          <w:cantSplit/>
          <w:tblHeader/>
        </w:trPr>
        <w:tc>
          <w:tcPr>
            <w:tcW w:w="7948" w:type="dxa"/>
            <w:gridSpan w:val="8"/>
            <w:tcBorders>
              <w:bottom w:val="single" w:sz="4" w:space="0" w:color="A39892"/>
            </w:tcBorders>
            <w:shd w:val="clear" w:color="auto" w:fill="A39892"/>
          </w:tcPr>
          <w:p w:rsidR="00B0434A" w:rsidRPr="00164C95" w:rsidRDefault="00164C95" w:rsidP="00164C95">
            <w:pPr>
              <w:pStyle w:val="TableName"/>
            </w:pPr>
            <w:r w:rsidRPr="00164C95">
              <w:t>Table 6: Section 151 and 152 Adjournments</w:t>
            </w:r>
          </w:p>
        </w:tc>
      </w:tr>
      <w:tr w:rsidR="00B0434A" w:rsidRPr="00797E5C" w:rsidTr="00A42141">
        <w:trPr>
          <w:cantSplit/>
        </w:trPr>
        <w:tc>
          <w:tcPr>
            <w:tcW w:w="1915" w:type="dxa"/>
            <w:shd w:val="clear" w:color="auto" w:fill="C6BDB6"/>
          </w:tcPr>
          <w:p w:rsidR="00B0434A" w:rsidRPr="00797E5C" w:rsidRDefault="00B0434A" w:rsidP="00A42141">
            <w:pPr>
              <w:pStyle w:val="TableText"/>
              <w:spacing w:before="30" w:after="30"/>
              <w:rPr>
                <w:rFonts w:ascii="Times New Roman" w:hAnsi="Times New Roman"/>
                <w:sz w:val="24"/>
                <w:szCs w:val="24"/>
              </w:rPr>
            </w:pPr>
          </w:p>
        </w:tc>
        <w:tc>
          <w:tcPr>
            <w:tcW w:w="990" w:type="dxa"/>
            <w:shd w:val="clear" w:color="auto" w:fill="C6BDB6"/>
          </w:tcPr>
          <w:p w:rsidR="00B0434A" w:rsidRPr="00797E5C" w:rsidRDefault="00B0434A" w:rsidP="00A42141">
            <w:pPr>
              <w:pStyle w:val="TableText"/>
              <w:spacing w:before="30" w:after="30"/>
              <w:rPr>
                <w:rFonts w:ascii="Times New Roman" w:hAnsi="Times New Roman"/>
                <w:sz w:val="24"/>
                <w:szCs w:val="24"/>
              </w:rPr>
            </w:pPr>
            <w:r w:rsidRPr="00797E5C">
              <w:t>Year</w:t>
            </w:r>
          </w:p>
        </w:tc>
        <w:tc>
          <w:tcPr>
            <w:tcW w:w="840" w:type="dxa"/>
            <w:shd w:val="clear" w:color="auto" w:fill="C6BDB6"/>
          </w:tcPr>
          <w:p w:rsidR="00B0434A" w:rsidRPr="00797E5C" w:rsidRDefault="00B0434A" w:rsidP="00A42141">
            <w:pPr>
              <w:pStyle w:val="TableText"/>
              <w:spacing w:before="30" w:after="30"/>
              <w:rPr>
                <w:rFonts w:ascii="Times New Roman" w:hAnsi="Times New Roman"/>
                <w:sz w:val="24"/>
                <w:szCs w:val="24"/>
              </w:rPr>
            </w:pPr>
            <w:r w:rsidRPr="00797E5C">
              <w:t>NSW</w:t>
            </w:r>
          </w:p>
        </w:tc>
        <w:tc>
          <w:tcPr>
            <w:tcW w:w="841" w:type="dxa"/>
            <w:shd w:val="clear" w:color="auto" w:fill="C6BDB6"/>
          </w:tcPr>
          <w:p w:rsidR="00B0434A" w:rsidRPr="00797E5C" w:rsidRDefault="00B0434A" w:rsidP="00A42141">
            <w:pPr>
              <w:pStyle w:val="TableText"/>
              <w:spacing w:before="30" w:after="30"/>
              <w:rPr>
                <w:rFonts w:ascii="Times New Roman" w:hAnsi="Times New Roman"/>
                <w:sz w:val="24"/>
                <w:szCs w:val="24"/>
              </w:rPr>
            </w:pPr>
            <w:r w:rsidRPr="00797E5C">
              <w:t>VIC</w:t>
            </w:r>
          </w:p>
        </w:tc>
        <w:tc>
          <w:tcPr>
            <w:tcW w:w="840" w:type="dxa"/>
            <w:shd w:val="clear" w:color="auto" w:fill="C6BDB6"/>
          </w:tcPr>
          <w:p w:rsidR="00B0434A" w:rsidRPr="00797E5C" w:rsidRDefault="00B0434A" w:rsidP="00A42141">
            <w:pPr>
              <w:pStyle w:val="TableText"/>
              <w:spacing w:before="30" w:after="30"/>
              <w:rPr>
                <w:rFonts w:ascii="Times New Roman" w:hAnsi="Times New Roman"/>
                <w:sz w:val="24"/>
                <w:szCs w:val="24"/>
              </w:rPr>
            </w:pPr>
            <w:r w:rsidRPr="00797E5C">
              <w:t>QLD</w:t>
            </w:r>
          </w:p>
        </w:tc>
        <w:tc>
          <w:tcPr>
            <w:tcW w:w="841" w:type="dxa"/>
            <w:shd w:val="clear" w:color="auto" w:fill="C6BDB6"/>
          </w:tcPr>
          <w:p w:rsidR="00B0434A" w:rsidRPr="00797E5C" w:rsidRDefault="00B0434A" w:rsidP="00A42141">
            <w:pPr>
              <w:pStyle w:val="TableText"/>
              <w:spacing w:before="30" w:after="30"/>
              <w:rPr>
                <w:rFonts w:ascii="Times New Roman" w:hAnsi="Times New Roman"/>
                <w:sz w:val="24"/>
                <w:szCs w:val="24"/>
              </w:rPr>
            </w:pPr>
            <w:r w:rsidRPr="00797E5C">
              <w:t>SA</w:t>
            </w:r>
          </w:p>
        </w:tc>
        <w:tc>
          <w:tcPr>
            <w:tcW w:w="840" w:type="dxa"/>
            <w:shd w:val="clear" w:color="auto" w:fill="C6BDB6"/>
          </w:tcPr>
          <w:p w:rsidR="00B0434A" w:rsidRPr="00797E5C" w:rsidRDefault="00B0434A" w:rsidP="00A42141">
            <w:pPr>
              <w:pStyle w:val="TableText"/>
              <w:spacing w:before="30" w:after="30"/>
              <w:rPr>
                <w:rFonts w:ascii="Times New Roman" w:hAnsi="Times New Roman"/>
                <w:sz w:val="24"/>
                <w:szCs w:val="24"/>
              </w:rPr>
            </w:pPr>
            <w:r w:rsidRPr="00797E5C">
              <w:t>WA</w:t>
            </w:r>
          </w:p>
        </w:tc>
        <w:tc>
          <w:tcPr>
            <w:tcW w:w="841" w:type="dxa"/>
            <w:shd w:val="clear" w:color="auto" w:fill="C6BDB6"/>
          </w:tcPr>
          <w:p w:rsidR="00B0434A" w:rsidRPr="00797E5C" w:rsidRDefault="00B0434A" w:rsidP="00A42141">
            <w:pPr>
              <w:pStyle w:val="TableText"/>
              <w:spacing w:before="30" w:after="30"/>
              <w:rPr>
                <w:rFonts w:ascii="Times New Roman" w:hAnsi="Times New Roman"/>
                <w:sz w:val="24"/>
                <w:szCs w:val="24"/>
              </w:rPr>
            </w:pPr>
            <w:r w:rsidRPr="00797E5C">
              <w:t>AUST</w:t>
            </w:r>
          </w:p>
        </w:tc>
      </w:tr>
      <w:tr w:rsidR="00B0434A" w:rsidRPr="00797E5C" w:rsidTr="00B0434A">
        <w:trPr>
          <w:cantSplit/>
        </w:trPr>
        <w:tc>
          <w:tcPr>
            <w:tcW w:w="1915" w:type="dxa"/>
            <w:tcBorders>
              <w:bottom w:val="nil"/>
            </w:tcBorders>
            <w:shd w:val="clear" w:color="auto" w:fill="auto"/>
          </w:tcPr>
          <w:p w:rsidR="00B0434A" w:rsidRPr="00B0434A" w:rsidRDefault="00B0434A" w:rsidP="00B0434A">
            <w:pPr>
              <w:pStyle w:val="TableText"/>
            </w:pPr>
            <w:r>
              <w:t>S 151 adjournments</w:t>
            </w:r>
          </w:p>
        </w:tc>
        <w:tc>
          <w:tcPr>
            <w:tcW w:w="990" w:type="dxa"/>
            <w:shd w:val="clear" w:color="auto" w:fill="auto"/>
          </w:tcPr>
          <w:p w:rsidR="00B0434A" w:rsidRPr="00797E5C" w:rsidRDefault="00B0434A" w:rsidP="00B0434A">
            <w:pPr>
              <w:pStyle w:val="TableText"/>
              <w:rPr>
                <w:rFonts w:ascii="Times New Roman" w:hAnsi="Times New Roman"/>
                <w:sz w:val="24"/>
                <w:szCs w:val="24"/>
              </w:rPr>
            </w:pPr>
            <w:r w:rsidRPr="00797E5C">
              <w:t>2017–18</w:t>
            </w:r>
          </w:p>
        </w:tc>
        <w:tc>
          <w:tcPr>
            <w:tcW w:w="840" w:type="dxa"/>
            <w:shd w:val="clear" w:color="auto" w:fill="auto"/>
          </w:tcPr>
          <w:p w:rsidR="00B0434A" w:rsidRPr="00B0434A" w:rsidRDefault="00B0434A" w:rsidP="00A42141">
            <w:pPr>
              <w:pStyle w:val="TableText"/>
            </w:pPr>
            <w:r>
              <w:t>5</w:t>
            </w:r>
          </w:p>
        </w:tc>
        <w:tc>
          <w:tcPr>
            <w:tcW w:w="841" w:type="dxa"/>
            <w:shd w:val="clear" w:color="auto" w:fill="auto"/>
          </w:tcPr>
          <w:p w:rsidR="00B0434A" w:rsidRPr="00B0434A" w:rsidRDefault="00B0434A" w:rsidP="00A42141">
            <w:pPr>
              <w:pStyle w:val="TableText"/>
            </w:pPr>
            <w:r>
              <w:t>1</w:t>
            </w:r>
          </w:p>
        </w:tc>
        <w:tc>
          <w:tcPr>
            <w:tcW w:w="840" w:type="dxa"/>
            <w:shd w:val="clear" w:color="auto" w:fill="auto"/>
          </w:tcPr>
          <w:p w:rsidR="00B0434A" w:rsidRPr="00B0434A" w:rsidRDefault="00B0434A" w:rsidP="00A42141">
            <w:pPr>
              <w:pStyle w:val="TableText"/>
            </w:pPr>
            <w:r>
              <w:t>17</w:t>
            </w:r>
          </w:p>
        </w:tc>
        <w:tc>
          <w:tcPr>
            <w:tcW w:w="841" w:type="dxa"/>
            <w:shd w:val="clear" w:color="auto" w:fill="auto"/>
          </w:tcPr>
          <w:p w:rsidR="00B0434A" w:rsidRPr="00B0434A" w:rsidRDefault="00B0434A" w:rsidP="00A42141">
            <w:pPr>
              <w:pStyle w:val="TableText"/>
            </w:pPr>
            <w:r>
              <w:t>2</w:t>
            </w:r>
          </w:p>
        </w:tc>
        <w:tc>
          <w:tcPr>
            <w:tcW w:w="840" w:type="dxa"/>
            <w:shd w:val="clear" w:color="auto" w:fill="auto"/>
          </w:tcPr>
          <w:p w:rsidR="00B0434A" w:rsidRPr="00B0434A" w:rsidRDefault="00B0434A" w:rsidP="00A42141">
            <w:pPr>
              <w:pStyle w:val="TableText"/>
            </w:pPr>
            <w:r>
              <w:t>14</w:t>
            </w:r>
          </w:p>
        </w:tc>
        <w:tc>
          <w:tcPr>
            <w:tcW w:w="841" w:type="dxa"/>
            <w:shd w:val="clear" w:color="auto" w:fill="auto"/>
          </w:tcPr>
          <w:p w:rsidR="00B0434A" w:rsidRPr="00B0434A" w:rsidRDefault="00B0434A" w:rsidP="00A42141">
            <w:pPr>
              <w:pStyle w:val="TableText"/>
            </w:pPr>
            <w:r>
              <w:t>39</w:t>
            </w:r>
          </w:p>
        </w:tc>
      </w:tr>
      <w:tr w:rsidR="00B0434A" w:rsidRPr="00797E5C" w:rsidTr="00B0434A">
        <w:trPr>
          <w:cantSplit/>
        </w:trPr>
        <w:tc>
          <w:tcPr>
            <w:tcW w:w="1915" w:type="dxa"/>
            <w:tcBorders>
              <w:top w:val="nil"/>
              <w:bottom w:val="nil"/>
            </w:tcBorders>
            <w:shd w:val="clear" w:color="auto" w:fill="auto"/>
          </w:tcPr>
          <w:p w:rsidR="00B0434A" w:rsidRPr="00797E5C" w:rsidRDefault="00B0434A" w:rsidP="00A42141">
            <w:pPr>
              <w:pStyle w:val="TableText"/>
              <w:spacing w:before="30" w:after="30"/>
              <w:rPr>
                <w:rFonts w:ascii="Times New Roman" w:hAnsi="Times New Roman"/>
                <w:sz w:val="24"/>
                <w:szCs w:val="24"/>
              </w:rPr>
            </w:pPr>
          </w:p>
        </w:tc>
        <w:tc>
          <w:tcPr>
            <w:tcW w:w="990" w:type="dxa"/>
            <w:shd w:val="clear" w:color="auto" w:fill="auto"/>
          </w:tcPr>
          <w:p w:rsidR="00B0434A" w:rsidRPr="00797E5C" w:rsidRDefault="00B0434A" w:rsidP="00B0434A">
            <w:pPr>
              <w:pStyle w:val="TableText"/>
            </w:pPr>
          </w:p>
        </w:tc>
        <w:tc>
          <w:tcPr>
            <w:tcW w:w="840" w:type="dxa"/>
            <w:shd w:val="clear" w:color="auto" w:fill="auto"/>
          </w:tcPr>
          <w:p w:rsidR="00B0434A" w:rsidRDefault="00B0434A" w:rsidP="00A42141">
            <w:pPr>
              <w:pStyle w:val="TableText"/>
            </w:pPr>
            <w:r>
              <w:t>1.8%</w:t>
            </w:r>
          </w:p>
        </w:tc>
        <w:tc>
          <w:tcPr>
            <w:tcW w:w="841" w:type="dxa"/>
            <w:shd w:val="clear" w:color="auto" w:fill="auto"/>
          </w:tcPr>
          <w:p w:rsidR="00B0434A" w:rsidRPr="00B0434A" w:rsidRDefault="00B0434A" w:rsidP="00A42141">
            <w:pPr>
              <w:pStyle w:val="TableText"/>
            </w:pPr>
            <w:r>
              <w:t>0.6%</w:t>
            </w:r>
          </w:p>
        </w:tc>
        <w:tc>
          <w:tcPr>
            <w:tcW w:w="840" w:type="dxa"/>
            <w:shd w:val="clear" w:color="auto" w:fill="auto"/>
          </w:tcPr>
          <w:p w:rsidR="00B0434A" w:rsidRPr="00B0434A" w:rsidRDefault="00B0434A" w:rsidP="00A42141">
            <w:pPr>
              <w:pStyle w:val="TableText"/>
            </w:pPr>
            <w:r>
              <w:t>3.7%</w:t>
            </w:r>
          </w:p>
        </w:tc>
        <w:tc>
          <w:tcPr>
            <w:tcW w:w="841" w:type="dxa"/>
            <w:shd w:val="clear" w:color="auto" w:fill="auto"/>
          </w:tcPr>
          <w:p w:rsidR="00B0434A" w:rsidRPr="00B0434A" w:rsidRDefault="00B0434A" w:rsidP="00A42141">
            <w:pPr>
              <w:pStyle w:val="TableText"/>
            </w:pPr>
            <w:r>
              <w:t>2.1%</w:t>
            </w:r>
          </w:p>
        </w:tc>
        <w:tc>
          <w:tcPr>
            <w:tcW w:w="840" w:type="dxa"/>
            <w:shd w:val="clear" w:color="auto" w:fill="auto"/>
          </w:tcPr>
          <w:p w:rsidR="00B0434A" w:rsidRPr="00B0434A" w:rsidRDefault="00B0434A" w:rsidP="00A42141">
            <w:pPr>
              <w:pStyle w:val="TableText"/>
            </w:pPr>
            <w:r>
              <w:t>13.5%</w:t>
            </w:r>
          </w:p>
        </w:tc>
        <w:tc>
          <w:tcPr>
            <w:tcW w:w="841" w:type="dxa"/>
            <w:shd w:val="clear" w:color="auto" w:fill="auto"/>
          </w:tcPr>
          <w:p w:rsidR="00B0434A" w:rsidRPr="00B0434A" w:rsidRDefault="00B0434A" w:rsidP="00A42141">
            <w:pPr>
              <w:pStyle w:val="TableText"/>
            </w:pPr>
            <w:r>
              <w:t>3.5%</w:t>
            </w:r>
          </w:p>
        </w:tc>
      </w:tr>
      <w:tr w:rsidR="00B0434A" w:rsidRPr="00797E5C" w:rsidTr="00B0434A">
        <w:trPr>
          <w:cantSplit/>
        </w:trPr>
        <w:tc>
          <w:tcPr>
            <w:tcW w:w="1915" w:type="dxa"/>
            <w:tcBorders>
              <w:top w:val="nil"/>
              <w:bottom w:val="nil"/>
            </w:tcBorders>
            <w:shd w:val="clear" w:color="auto" w:fill="auto"/>
          </w:tcPr>
          <w:p w:rsidR="00B0434A" w:rsidRPr="00797E5C" w:rsidRDefault="00B0434A" w:rsidP="00A42141">
            <w:pPr>
              <w:pStyle w:val="TableText"/>
              <w:spacing w:before="30" w:after="30"/>
              <w:rPr>
                <w:rFonts w:ascii="Times New Roman" w:hAnsi="Times New Roman"/>
                <w:sz w:val="24"/>
                <w:szCs w:val="24"/>
              </w:rPr>
            </w:pPr>
          </w:p>
        </w:tc>
        <w:tc>
          <w:tcPr>
            <w:tcW w:w="990" w:type="dxa"/>
            <w:shd w:val="clear" w:color="auto" w:fill="auto"/>
          </w:tcPr>
          <w:p w:rsidR="00B0434A" w:rsidRPr="00797E5C" w:rsidRDefault="00B0434A" w:rsidP="00B0434A">
            <w:pPr>
              <w:pStyle w:val="TableText"/>
            </w:pPr>
            <w:r w:rsidRPr="00797E5C">
              <w:t>2016–17</w:t>
            </w:r>
          </w:p>
        </w:tc>
        <w:tc>
          <w:tcPr>
            <w:tcW w:w="840" w:type="dxa"/>
            <w:shd w:val="clear" w:color="auto" w:fill="auto"/>
          </w:tcPr>
          <w:p w:rsidR="00B0434A" w:rsidRPr="00B0434A" w:rsidRDefault="00B0434A" w:rsidP="00B0434A">
            <w:pPr>
              <w:pStyle w:val="TableText"/>
            </w:pPr>
            <w:r>
              <w:t>22</w:t>
            </w:r>
          </w:p>
        </w:tc>
        <w:tc>
          <w:tcPr>
            <w:tcW w:w="841" w:type="dxa"/>
            <w:shd w:val="clear" w:color="auto" w:fill="auto"/>
          </w:tcPr>
          <w:p w:rsidR="00B0434A" w:rsidRPr="00B0434A" w:rsidRDefault="00B0434A" w:rsidP="00B0434A">
            <w:pPr>
              <w:pStyle w:val="TableText"/>
            </w:pPr>
            <w:r>
              <w:t>11</w:t>
            </w:r>
          </w:p>
        </w:tc>
        <w:tc>
          <w:tcPr>
            <w:tcW w:w="840" w:type="dxa"/>
            <w:shd w:val="clear" w:color="auto" w:fill="auto"/>
          </w:tcPr>
          <w:p w:rsidR="00B0434A" w:rsidRPr="00B0434A" w:rsidRDefault="00B0434A" w:rsidP="00B0434A">
            <w:pPr>
              <w:pStyle w:val="TableText"/>
            </w:pPr>
            <w:r>
              <w:t>35</w:t>
            </w:r>
          </w:p>
        </w:tc>
        <w:tc>
          <w:tcPr>
            <w:tcW w:w="841" w:type="dxa"/>
            <w:shd w:val="clear" w:color="auto" w:fill="auto"/>
          </w:tcPr>
          <w:p w:rsidR="00B0434A" w:rsidRPr="00B0434A" w:rsidRDefault="00B0434A" w:rsidP="00B0434A">
            <w:pPr>
              <w:pStyle w:val="TableText"/>
            </w:pPr>
            <w:r>
              <w:t>10</w:t>
            </w:r>
          </w:p>
        </w:tc>
        <w:tc>
          <w:tcPr>
            <w:tcW w:w="840" w:type="dxa"/>
            <w:shd w:val="clear" w:color="auto" w:fill="auto"/>
          </w:tcPr>
          <w:p w:rsidR="00B0434A" w:rsidRPr="00B0434A" w:rsidRDefault="00B0434A" w:rsidP="00B0434A">
            <w:pPr>
              <w:pStyle w:val="TableText"/>
            </w:pPr>
            <w:r>
              <w:t>17</w:t>
            </w:r>
          </w:p>
        </w:tc>
        <w:tc>
          <w:tcPr>
            <w:tcW w:w="841" w:type="dxa"/>
            <w:shd w:val="clear" w:color="auto" w:fill="auto"/>
          </w:tcPr>
          <w:p w:rsidR="00B0434A" w:rsidRPr="00B0434A" w:rsidRDefault="00B0434A" w:rsidP="00B0434A">
            <w:pPr>
              <w:pStyle w:val="TableText"/>
            </w:pPr>
            <w:r>
              <w:t>95</w:t>
            </w:r>
          </w:p>
        </w:tc>
      </w:tr>
      <w:tr w:rsidR="00B0434A" w:rsidRPr="00797E5C" w:rsidTr="00B0434A">
        <w:trPr>
          <w:cantSplit/>
        </w:trPr>
        <w:tc>
          <w:tcPr>
            <w:tcW w:w="1915" w:type="dxa"/>
            <w:tcBorders>
              <w:top w:val="nil"/>
              <w:bottom w:val="single" w:sz="4" w:space="0" w:color="A39892"/>
            </w:tcBorders>
            <w:shd w:val="clear" w:color="auto" w:fill="auto"/>
          </w:tcPr>
          <w:p w:rsidR="00B0434A" w:rsidRPr="00797E5C" w:rsidRDefault="00B0434A" w:rsidP="00A42141">
            <w:pPr>
              <w:pStyle w:val="TableText"/>
              <w:spacing w:before="30" w:after="30"/>
              <w:rPr>
                <w:rFonts w:ascii="Times New Roman" w:hAnsi="Times New Roman"/>
                <w:sz w:val="24"/>
                <w:szCs w:val="24"/>
              </w:rPr>
            </w:pPr>
          </w:p>
        </w:tc>
        <w:tc>
          <w:tcPr>
            <w:tcW w:w="990" w:type="dxa"/>
            <w:shd w:val="clear" w:color="auto" w:fill="auto"/>
          </w:tcPr>
          <w:p w:rsidR="00B0434A" w:rsidRPr="00797E5C" w:rsidRDefault="00B0434A" w:rsidP="00B0434A">
            <w:pPr>
              <w:pStyle w:val="TableText"/>
            </w:pPr>
          </w:p>
        </w:tc>
        <w:tc>
          <w:tcPr>
            <w:tcW w:w="840" w:type="dxa"/>
            <w:shd w:val="clear" w:color="auto" w:fill="auto"/>
          </w:tcPr>
          <w:p w:rsidR="00B0434A" w:rsidRPr="00B0434A" w:rsidRDefault="00B0434A" w:rsidP="00B0434A">
            <w:pPr>
              <w:pStyle w:val="TableText"/>
            </w:pPr>
            <w:r>
              <w:t>6.7%</w:t>
            </w:r>
          </w:p>
        </w:tc>
        <w:tc>
          <w:tcPr>
            <w:tcW w:w="841" w:type="dxa"/>
            <w:shd w:val="clear" w:color="auto" w:fill="auto"/>
          </w:tcPr>
          <w:p w:rsidR="00B0434A" w:rsidRPr="00B0434A" w:rsidRDefault="00B0434A" w:rsidP="00B0434A">
            <w:pPr>
              <w:pStyle w:val="TableText"/>
            </w:pPr>
            <w:r>
              <w:t>3.4%</w:t>
            </w:r>
          </w:p>
        </w:tc>
        <w:tc>
          <w:tcPr>
            <w:tcW w:w="840" w:type="dxa"/>
            <w:shd w:val="clear" w:color="auto" w:fill="auto"/>
          </w:tcPr>
          <w:p w:rsidR="00B0434A" w:rsidRPr="00B0434A" w:rsidRDefault="00B0434A" w:rsidP="00B0434A">
            <w:pPr>
              <w:pStyle w:val="TableText"/>
            </w:pPr>
            <w:r>
              <w:t>7.6%</w:t>
            </w:r>
          </w:p>
        </w:tc>
        <w:tc>
          <w:tcPr>
            <w:tcW w:w="841" w:type="dxa"/>
            <w:shd w:val="clear" w:color="auto" w:fill="auto"/>
          </w:tcPr>
          <w:p w:rsidR="00B0434A" w:rsidRPr="00B0434A" w:rsidRDefault="00B0434A" w:rsidP="00B0434A">
            <w:pPr>
              <w:pStyle w:val="TableText"/>
            </w:pPr>
            <w:r>
              <w:t>10.6%</w:t>
            </w:r>
          </w:p>
        </w:tc>
        <w:tc>
          <w:tcPr>
            <w:tcW w:w="840" w:type="dxa"/>
            <w:shd w:val="clear" w:color="auto" w:fill="auto"/>
          </w:tcPr>
          <w:p w:rsidR="00B0434A" w:rsidRPr="00B0434A" w:rsidRDefault="00B0434A" w:rsidP="00B0434A">
            <w:pPr>
              <w:pStyle w:val="TableText"/>
            </w:pPr>
            <w:r>
              <w:t>12.9%</w:t>
            </w:r>
          </w:p>
        </w:tc>
        <w:tc>
          <w:tcPr>
            <w:tcW w:w="841" w:type="dxa"/>
            <w:shd w:val="clear" w:color="auto" w:fill="auto"/>
          </w:tcPr>
          <w:p w:rsidR="00B0434A" w:rsidRPr="00B0434A" w:rsidRDefault="00B0434A" w:rsidP="00B0434A">
            <w:pPr>
              <w:pStyle w:val="TableText"/>
            </w:pPr>
            <w:r>
              <w:t>7.1%</w:t>
            </w:r>
          </w:p>
        </w:tc>
      </w:tr>
      <w:tr w:rsidR="00B0434A" w:rsidRPr="00797E5C" w:rsidTr="00B0434A">
        <w:trPr>
          <w:cantSplit/>
        </w:trPr>
        <w:tc>
          <w:tcPr>
            <w:tcW w:w="1915" w:type="dxa"/>
            <w:tcBorders>
              <w:bottom w:val="nil"/>
            </w:tcBorders>
            <w:shd w:val="clear" w:color="auto" w:fill="auto"/>
          </w:tcPr>
          <w:p w:rsidR="00B0434A" w:rsidRPr="00B0434A" w:rsidRDefault="00B0434A" w:rsidP="00B0434A">
            <w:pPr>
              <w:pStyle w:val="TableText"/>
            </w:pPr>
            <w:r>
              <w:t>S 152 adjournments</w:t>
            </w:r>
          </w:p>
        </w:tc>
        <w:tc>
          <w:tcPr>
            <w:tcW w:w="990" w:type="dxa"/>
            <w:shd w:val="clear" w:color="auto" w:fill="auto"/>
          </w:tcPr>
          <w:p w:rsidR="00B0434A" w:rsidRPr="00797E5C" w:rsidRDefault="00B0434A" w:rsidP="00B0434A">
            <w:pPr>
              <w:pStyle w:val="TableText"/>
              <w:rPr>
                <w:rFonts w:ascii="Times New Roman" w:hAnsi="Times New Roman"/>
                <w:sz w:val="24"/>
                <w:szCs w:val="24"/>
              </w:rPr>
            </w:pPr>
            <w:r w:rsidRPr="00797E5C">
              <w:t>201</w:t>
            </w:r>
            <w:r w:rsidRPr="00B0434A">
              <w:t>7</w:t>
            </w:r>
            <w:r w:rsidRPr="00797E5C">
              <w:t>–18</w:t>
            </w:r>
          </w:p>
        </w:tc>
        <w:tc>
          <w:tcPr>
            <w:tcW w:w="840" w:type="dxa"/>
            <w:shd w:val="clear" w:color="auto" w:fill="auto"/>
          </w:tcPr>
          <w:p w:rsidR="00B0434A" w:rsidRPr="00B0434A" w:rsidRDefault="00125414" w:rsidP="00B0434A">
            <w:pPr>
              <w:pStyle w:val="TableText"/>
            </w:pPr>
            <w:r>
              <w:t>7</w:t>
            </w:r>
          </w:p>
        </w:tc>
        <w:tc>
          <w:tcPr>
            <w:tcW w:w="841" w:type="dxa"/>
            <w:shd w:val="clear" w:color="auto" w:fill="auto"/>
          </w:tcPr>
          <w:p w:rsidR="00B0434A" w:rsidRPr="00B0434A" w:rsidRDefault="00125414" w:rsidP="00B0434A">
            <w:pPr>
              <w:pStyle w:val="TableText"/>
            </w:pPr>
            <w:r>
              <w:t>8</w:t>
            </w:r>
          </w:p>
        </w:tc>
        <w:tc>
          <w:tcPr>
            <w:tcW w:w="840" w:type="dxa"/>
            <w:shd w:val="clear" w:color="auto" w:fill="auto"/>
          </w:tcPr>
          <w:p w:rsidR="00B0434A" w:rsidRPr="00B0434A" w:rsidRDefault="00125414" w:rsidP="00B0434A">
            <w:pPr>
              <w:pStyle w:val="TableText"/>
            </w:pPr>
            <w:r>
              <w:t>21</w:t>
            </w:r>
          </w:p>
        </w:tc>
        <w:tc>
          <w:tcPr>
            <w:tcW w:w="841" w:type="dxa"/>
            <w:shd w:val="clear" w:color="auto" w:fill="auto"/>
          </w:tcPr>
          <w:p w:rsidR="00B0434A" w:rsidRPr="00B0434A" w:rsidRDefault="00125414" w:rsidP="00B0434A">
            <w:pPr>
              <w:pStyle w:val="TableText"/>
            </w:pPr>
            <w:r>
              <w:t>7</w:t>
            </w:r>
          </w:p>
        </w:tc>
        <w:tc>
          <w:tcPr>
            <w:tcW w:w="840" w:type="dxa"/>
            <w:shd w:val="clear" w:color="auto" w:fill="auto"/>
          </w:tcPr>
          <w:p w:rsidR="00B0434A" w:rsidRPr="00B0434A" w:rsidRDefault="00125414" w:rsidP="00B0434A">
            <w:pPr>
              <w:pStyle w:val="TableText"/>
            </w:pPr>
            <w:r>
              <w:t>4</w:t>
            </w:r>
          </w:p>
        </w:tc>
        <w:tc>
          <w:tcPr>
            <w:tcW w:w="841" w:type="dxa"/>
            <w:shd w:val="clear" w:color="auto" w:fill="auto"/>
          </w:tcPr>
          <w:p w:rsidR="00B0434A" w:rsidRPr="00B0434A" w:rsidRDefault="00125414" w:rsidP="00B0434A">
            <w:pPr>
              <w:pStyle w:val="TableText"/>
            </w:pPr>
            <w:r>
              <w:t>47</w:t>
            </w:r>
          </w:p>
        </w:tc>
      </w:tr>
      <w:tr w:rsidR="00B0434A" w:rsidRPr="00797E5C" w:rsidTr="00B0434A">
        <w:trPr>
          <w:cantSplit/>
        </w:trPr>
        <w:tc>
          <w:tcPr>
            <w:tcW w:w="1915" w:type="dxa"/>
            <w:tcBorders>
              <w:top w:val="nil"/>
              <w:bottom w:val="nil"/>
            </w:tcBorders>
            <w:shd w:val="clear" w:color="auto" w:fill="auto"/>
          </w:tcPr>
          <w:p w:rsidR="00B0434A" w:rsidRPr="00797E5C" w:rsidRDefault="00B0434A" w:rsidP="00A42141">
            <w:pPr>
              <w:pStyle w:val="TableText"/>
              <w:spacing w:before="30" w:after="30"/>
              <w:rPr>
                <w:rFonts w:ascii="Times New Roman" w:hAnsi="Times New Roman"/>
                <w:sz w:val="24"/>
                <w:szCs w:val="24"/>
              </w:rPr>
            </w:pPr>
          </w:p>
        </w:tc>
        <w:tc>
          <w:tcPr>
            <w:tcW w:w="990" w:type="dxa"/>
            <w:shd w:val="clear" w:color="auto" w:fill="auto"/>
          </w:tcPr>
          <w:p w:rsidR="00B0434A" w:rsidRPr="00797E5C" w:rsidRDefault="00B0434A" w:rsidP="00B0434A">
            <w:pPr>
              <w:pStyle w:val="TableText"/>
            </w:pPr>
          </w:p>
        </w:tc>
        <w:tc>
          <w:tcPr>
            <w:tcW w:w="840" w:type="dxa"/>
            <w:shd w:val="clear" w:color="auto" w:fill="auto"/>
          </w:tcPr>
          <w:p w:rsidR="00B0434A" w:rsidRPr="00B0434A" w:rsidRDefault="00125414" w:rsidP="00B0434A">
            <w:pPr>
              <w:pStyle w:val="TableText"/>
            </w:pPr>
            <w:r>
              <w:t>2.5%</w:t>
            </w:r>
          </w:p>
        </w:tc>
        <w:tc>
          <w:tcPr>
            <w:tcW w:w="841" w:type="dxa"/>
            <w:shd w:val="clear" w:color="auto" w:fill="auto"/>
          </w:tcPr>
          <w:p w:rsidR="00B0434A" w:rsidRPr="00B0434A" w:rsidRDefault="00125414" w:rsidP="00B0434A">
            <w:pPr>
              <w:pStyle w:val="TableText"/>
            </w:pPr>
            <w:r>
              <w:t>4.5%</w:t>
            </w:r>
          </w:p>
        </w:tc>
        <w:tc>
          <w:tcPr>
            <w:tcW w:w="840" w:type="dxa"/>
            <w:shd w:val="clear" w:color="auto" w:fill="auto"/>
          </w:tcPr>
          <w:p w:rsidR="00B0434A" w:rsidRPr="00B0434A" w:rsidRDefault="00125414" w:rsidP="00B0434A">
            <w:pPr>
              <w:pStyle w:val="TableText"/>
            </w:pPr>
            <w:r>
              <w:t>4.6%</w:t>
            </w:r>
          </w:p>
        </w:tc>
        <w:tc>
          <w:tcPr>
            <w:tcW w:w="841" w:type="dxa"/>
            <w:shd w:val="clear" w:color="auto" w:fill="auto"/>
          </w:tcPr>
          <w:p w:rsidR="00B0434A" w:rsidRPr="00B0434A" w:rsidRDefault="00125414" w:rsidP="00B0434A">
            <w:pPr>
              <w:pStyle w:val="TableText"/>
            </w:pPr>
            <w:r>
              <w:t>7.2%</w:t>
            </w:r>
          </w:p>
        </w:tc>
        <w:tc>
          <w:tcPr>
            <w:tcW w:w="840" w:type="dxa"/>
            <w:shd w:val="clear" w:color="auto" w:fill="auto"/>
          </w:tcPr>
          <w:p w:rsidR="00B0434A" w:rsidRPr="00B0434A" w:rsidRDefault="00125414" w:rsidP="00B0434A">
            <w:pPr>
              <w:pStyle w:val="TableText"/>
            </w:pPr>
            <w:r>
              <w:t>3.8%</w:t>
            </w:r>
          </w:p>
        </w:tc>
        <w:tc>
          <w:tcPr>
            <w:tcW w:w="841" w:type="dxa"/>
            <w:shd w:val="clear" w:color="auto" w:fill="auto"/>
          </w:tcPr>
          <w:p w:rsidR="00B0434A" w:rsidRPr="00B0434A" w:rsidRDefault="00125414" w:rsidP="00B0434A">
            <w:pPr>
              <w:pStyle w:val="TableText"/>
            </w:pPr>
            <w:r>
              <w:t>4.2%</w:t>
            </w:r>
          </w:p>
        </w:tc>
      </w:tr>
      <w:tr w:rsidR="00B0434A" w:rsidRPr="00797E5C" w:rsidTr="00B0434A">
        <w:trPr>
          <w:cantSplit/>
        </w:trPr>
        <w:tc>
          <w:tcPr>
            <w:tcW w:w="1915" w:type="dxa"/>
            <w:tcBorders>
              <w:top w:val="nil"/>
              <w:bottom w:val="nil"/>
            </w:tcBorders>
            <w:shd w:val="clear" w:color="auto" w:fill="auto"/>
          </w:tcPr>
          <w:p w:rsidR="00B0434A" w:rsidRPr="00797E5C" w:rsidRDefault="00B0434A" w:rsidP="00A42141">
            <w:pPr>
              <w:pStyle w:val="TableText"/>
              <w:spacing w:before="30" w:after="30"/>
              <w:rPr>
                <w:rFonts w:ascii="Times New Roman" w:hAnsi="Times New Roman"/>
                <w:sz w:val="24"/>
                <w:szCs w:val="24"/>
              </w:rPr>
            </w:pPr>
          </w:p>
        </w:tc>
        <w:tc>
          <w:tcPr>
            <w:tcW w:w="990" w:type="dxa"/>
            <w:shd w:val="clear" w:color="auto" w:fill="auto"/>
          </w:tcPr>
          <w:p w:rsidR="00B0434A" w:rsidRPr="00797E5C" w:rsidRDefault="00B0434A" w:rsidP="00B0434A">
            <w:pPr>
              <w:pStyle w:val="TableText"/>
            </w:pPr>
            <w:r w:rsidRPr="00797E5C">
              <w:t>2016–17</w:t>
            </w:r>
          </w:p>
        </w:tc>
        <w:tc>
          <w:tcPr>
            <w:tcW w:w="840" w:type="dxa"/>
            <w:shd w:val="clear" w:color="auto" w:fill="auto"/>
          </w:tcPr>
          <w:p w:rsidR="00B0434A" w:rsidRPr="00B0434A" w:rsidRDefault="00125414" w:rsidP="00B0434A">
            <w:pPr>
              <w:pStyle w:val="TableText"/>
            </w:pPr>
            <w:r>
              <w:t>13</w:t>
            </w:r>
          </w:p>
        </w:tc>
        <w:tc>
          <w:tcPr>
            <w:tcW w:w="841" w:type="dxa"/>
            <w:shd w:val="clear" w:color="auto" w:fill="auto"/>
          </w:tcPr>
          <w:p w:rsidR="00B0434A" w:rsidRPr="00B0434A" w:rsidRDefault="00125414" w:rsidP="00B0434A">
            <w:pPr>
              <w:pStyle w:val="TableText"/>
            </w:pPr>
            <w:r>
              <w:t>26</w:t>
            </w:r>
          </w:p>
        </w:tc>
        <w:tc>
          <w:tcPr>
            <w:tcW w:w="840" w:type="dxa"/>
            <w:shd w:val="clear" w:color="auto" w:fill="auto"/>
          </w:tcPr>
          <w:p w:rsidR="00B0434A" w:rsidRPr="00B0434A" w:rsidRDefault="00125414" w:rsidP="00B0434A">
            <w:pPr>
              <w:pStyle w:val="TableText"/>
            </w:pPr>
            <w:r>
              <w:t>22</w:t>
            </w:r>
          </w:p>
        </w:tc>
        <w:tc>
          <w:tcPr>
            <w:tcW w:w="841" w:type="dxa"/>
            <w:shd w:val="clear" w:color="auto" w:fill="auto"/>
          </w:tcPr>
          <w:p w:rsidR="00B0434A" w:rsidRPr="00B0434A" w:rsidRDefault="00125414" w:rsidP="00B0434A">
            <w:pPr>
              <w:pStyle w:val="TableText"/>
            </w:pPr>
            <w:r>
              <w:t>3</w:t>
            </w:r>
          </w:p>
        </w:tc>
        <w:tc>
          <w:tcPr>
            <w:tcW w:w="840" w:type="dxa"/>
            <w:shd w:val="clear" w:color="auto" w:fill="auto"/>
          </w:tcPr>
          <w:p w:rsidR="00B0434A" w:rsidRPr="00B0434A" w:rsidRDefault="00125414" w:rsidP="00B0434A">
            <w:pPr>
              <w:pStyle w:val="TableText"/>
            </w:pPr>
            <w:r>
              <w:t>5</w:t>
            </w:r>
          </w:p>
        </w:tc>
        <w:tc>
          <w:tcPr>
            <w:tcW w:w="841" w:type="dxa"/>
            <w:shd w:val="clear" w:color="auto" w:fill="auto"/>
          </w:tcPr>
          <w:p w:rsidR="00B0434A" w:rsidRPr="00B0434A" w:rsidRDefault="00125414" w:rsidP="00B0434A">
            <w:pPr>
              <w:pStyle w:val="TableText"/>
            </w:pPr>
            <w:r>
              <w:t>69</w:t>
            </w:r>
          </w:p>
        </w:tc>
      </w:tr>
      <w:tr w:rsidR="00B0434A" w:rsidRPr="00797E5C" w:rsidTr="00B0434A">
        <w:trPr>
          <w:cantSplit/>
        </w:trPr>
        <w:tc>
          <w:tcPr>
            <w:tcW w:w="1915" w:type="dxa"/>
            <w:tcBorders>
              <w:top w:val="nil"/>
            </w:tcBorders>
            <w:shd w:val="clear" w:color="auto" w:fill="auto"/>
          </w:tcPr>
          <w:p w:rsidR="00B0434A" w:rsidRPr="00797E5C" w:rsidRDefault="00B0434A" w:rsidP="00A42141">
            <w:pPr>
              <w:pStyle w:val="TableText"/>
              <w:spacing w:before="30" w:after="30"/>
              <w:rPr>
                <w:rFonts w:ascii="Times New Roman" w:hAnsi="Times New Roman"/>
                <w:sz w:val="24"/>
                <w:szCs w:val="24"/>
              </w:rPr>
            </w:pPr>
          </w:p>
        </w:tc>
        <w:tc>
          <w:tcPr>
            <w:tcW w:w="990" w:type="dxa"/>
            <w:shd w:val="clear" w:color="auto" w:fill="auto"/>
          </w:tcPr>
          <w:p w:rsidR="00B0434A" w:rsidRPr="00797E5C" w:rsidRDefault="00B0434A" w:rsidP="00B0434A">
            <w:pPr>
              <w:pStyle w:val="TableText"/>
            </w:pPr>
          </w:p>
        </w:tc>
        <w:tc>
          <w:tcPr>
            <w:tcW w:w="840" w:type="dxa"/>
            <w:shd w:val="clear" w:color="auto" w:fill="auto"/>
          </w:tcPr>
          <w:p w:rsidR="00B0434A" w:rsidRPr="00B0434A" w:rsidRDefault="00125414" w:rsidP="00B0434A">
            <w:pPr>
              <w:pStyle w:val="TableText"/>
            </w:pPr>
            <w:r>
              <w:t>3.9%</w:t>
            </w:r>
          </w:p>
        </w:tc>
        <w:tc>
          <w:tcPr>
            <w:tcW w:w="841" w:type="dxa"/>
            <w:shd w:val="clear" w:color="auto" w:fill="auto"/>
          </w:tcPr>
          <w:p w:rsidR="00B0434A" w:rsidRPr="00B0434A" w:rsidRDefault="00125414" w:rsidP="00B0434A">
            <w:pPr>
              <w:pStyle w:val="TableText"/>
            </w:pPr>
            <w:r>
              <w:t>8.1%</w:t>
            </w:r>
          </w:p>
        </w:tc>
        <w:tc>
          <w:tcPr>
            <w:tcW w:w="840" w:type="dxa"/>
            <w:shd w:val="clear" w:color="auto" w:fill="auto"/>
          </w:tcPr>
          <w:p w:rsidR="00B0434A" w:rsidRPr="00B0434A" w:rsidRDefault="00125414" w:rsidP="00B0434A">
            <w:pPr>
              <w:pStyle w:val="TableText"/>
            </w:pPr>
            <w:r>
              <w:t>4.8%</w:t>
            </w:r>
          </w:p>
        </w:tc>
        <w:tc>
          <w:tcPr>
            <w:tcW w:w="841" w:type="dxa"/>
            <w:shd w:val="clear" w:color="auto" w:fill="auto"/>
          </w:tcPr>
          <w:p w:rsidR="00B0434A" w:rsidRPr="00B0434A" w:rsidRDefault="00125414" w:rsidP="00B0434A">
            <w:pPr>
              <w:pStyle w:val="TableText"/>
            </w:pPr>
            <w:r>
              <w:t>3.2%</w:t>
            </w:r>
          </w:p>
        </w:tc>
        <w:tc>
          <w:tcPr>
            <w:tcW w:w="840" w:type="dxa"/>
            <w:shd w:val="clear" w:color="auto" w:fill="auto"/>
          </w:tcPr>
          <w:p w:rsidR="00B0434A" w:rsidRPr="00B0434A" w:rsidRDefault="00125414" w:rsidP="00B0434A">
            <w:pPr>
              <w:pStyle w:val="TableText"/>
            </w:pPr>
            <w:r>
              <w:t>3.8%</w:t>
            </w:r>
          </w:p>
        </w:tc>
        <w:tc>
          <w:tcPr>
            <w:tcW w:w="841" w:type="dxa"/>
            <w:shd w:val="clear" w:color="auto" w:fill="auto"/>
          </w:tcPr>
          <w:p w:rsidR="00B0434A" w:rsidRPr="00B0434A" w:rsidRDefault="00125414" w:rsidP="00B0434A">
            <w:pPr>
              <w:pStyle w:val="TableText"/>
            </w:pPr>
            <w:r>
              <w:t>5.2%</w:t>
            </w:r>
          </w:p>
        </w:tc>
      </w:tr>
      <w:tr w:rsidR="00B0434A" w:rsidRPr="00797E5C" w:rsidTr="00B0434A">
        <w:trPr>
          <w:cantSplit/>
        </w:trPr>
        <w:tc>
          <w:tcPr>
            <w:tcW w:w="1915" w:type="dxa"/>
            <w:tcBorders>
              <w:top w:val="nil"/>
              <w:left w:val="single" w:sz="4" w:space="0" w:color="A39892"/>
              <w:bottom w:val="nil"/>
              <w:right w:val="single" w:sz="4" w:space="0" w:color="A39892"/>
            </w:tcBorders>
            <w:shd w:val="clear" w:color="auto" w:fill="auto"/>
          </w:tcPr>
          <w:p w:rsidR="00B0434A" w:rsidRPr="00B0434A" w:rsidRDefault="00B0434A" w:rsidP="00B0434A">
            <w:pPr>
              <w:pStyle w:val="TableText"/>
            </w:pPr>
            <w:r>
              <w:t>Total adjournments</w:t>
            </w:r>
          </w:p>
        </w:tc>
        <w:tc>
          <w:tcPr>
            <w:tcW w:w="990" w:type="dxa"/>
            <w:tcBorders>
              <w:top w:val="single" w:sz="4" w:space="0" w:color="A39892"/>
              <w:left w:val="single" w:sz="4" w:space="0" w:color="A39892"/>
              <w:bottom w:val="single" w:sz="4" w:space="0" w:color="A39892"/>
              <w:right w:val="single" w:sz="4" w:space="0" w:color="A39892"/>
            </w:tcBorders>
            <w:shd w:val="clear" w:color="auto" w:fill="auto"/>
          </w:tcPr>
          <w:p w:rsidR="00B0434A" w:rsidRPr="00B0434A" w:rsidRDefault="00B0434A" w:rsidP="00B0434A">
            <w:pPr>
              <w:pStyle w:val="TableText"/>
            </w:pPr>
            <w:r w:rsidRPr="00B0434A">
              <w:t>2017–18</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B0434A" w:rsidRPr="00B0434A" w:rsidRDefault="00125414" w:rsidP="00B0434A">
            <w:pPr>
              <w:pStyle w:val="TableText"/>
            </w:pPr>
            <w:r>
              <w:t>12</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B0434A" w:rsidRPr="00B0434A" w:rsidRDefault="00125414" w:rsidP="00B0434A">
            <w:pPr>
              <w:pStyle w:val="TableText"/>
            </w:pPr>
            <w:r>
              <w:t>9</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B0434A" w:rsidRPr="00B0434A" w:rsidRDefault="00125414" w:rsidP="00B0434A">
            <w:pPr>
              <w:pStyle w:val="TableText"/>
            </w:pPr>
            <w:r>
              <w:t>38</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B0434A" w:rsidRPr="00B0434A" w:rsidRDefault="00125414" w:rsidP="00B0434A">
            <w:pPr>
              <w:pStyle w:val="TableText"/>
            </w:pPr>
            <w:r>
              <w:t>9</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B0434A" w:rsidRPr="00B0434A" w:rsidRDefault="00125414" w:rsidP="00B0434A">
            <w:pPr>
              <w:pStyle w:val="TableText"/>
            </w:pPr>
            <w:r>
              <w:t>18</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B0434A" w:rsidRPr="00B0434A" w:rsidRDefault="00125414" w:rsidP="00B0434A">
            <w:pPr>
              <w:pStyle w:val="TableText"/>
            </w:pPr>
            <w:r>
              <w:t>86</w:t>
            </w:r>
          </w:p>
        </w:tc>
      </w:tr>
      <w:tr w:rsidR="00B0434A" w:rsidRPr="00797E5C" w:rsidTr="00B0434A">
        <w:trPr>
          <w:cantSplit/>
        </w:trPr>
        <w:tc>
          <w:tcPr>
            <w:tcW w:w="1915" w:type="dxa"/>
            <w:tcBorders>
              <w:top w:val="nil"/>
              <w:left w:val="single" w:sz="4" w:space="0" w:color="A39892"/>
              <w:bottom w:val="nil"/>
              <w:right w:val="single" w:sz="4" w:space="0" w:color="A39892"/>
            </w:tcBorders>
            <w:shd w:val="clear" w:color="auto" w:fill="auto"/>
          </w:tcPr>
          <w:p w:rsidR="00B0434A" w:rsidRPr="00797E5C" w:rsidRDefault="00B0434A" w:rsidP="00A42141">
            <w:pPr>
              <w:pStyle w:val="TableText"/>
              <w:spacing w:before="30" w:after="30"/>
              <w:rPr>
                <w:rFonts w:ascii="Times New Roman" w:hAnsi="Times New Roman"/>
                <w:sz w:val="24"/>
                <w:szCs w:val="24"/>
              </w:rPr>
            </w:pPr>
          </w:p>
        </w:tc>
        <w:tc>
          <w:tcPr>
            <w:tcW w:w="990" w:type="dxa"/>
            <w:tcBorders>
              <w:top w:val="single" w:sz="4" w:space="0" w:color="A39892"/>
              <w:left w:val="single" w:sz="4" w:space="0" w:color="A39892"/>
              <w:bottom w:val="single" w:sz="4" w:space="0" w:color="A39892"/>
              <w:right w:val="single" w:sz="4" w:space="0" w:color="A39892"/>
            </w:tcBorders>
            <w:shd w:val="clear" w:color="auto" w:fill="auto"/>
          </w:tcPr>
          <w:p w:rsidR="00B0434A" w:rsidRPr="00B0434A" w:rsidRDefault="00B0434A" w:rsidP="00B0434A">
            <w:pPr>
              <w:pStyle w:val="TableText"/>
            </w:pP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B0434A" w:rsidRPr="00B0434A" w:rsidRDefault="00125414" w:rsidP="00B0434A">
            <w:pPr>
              <w:pStyle w:val="TableText"/>
            </w:pPr>
            <w:r>
              <w:t>4.4%</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B0434A" w:rsidRPr="00B0434A" w:rsidRDefault="00125414" w:rsidP="00B0434A">
            <w:pPr>
              <w:pStyle w:val="TableText"/>
            </w:pPr>
            <w:r>
              <w:t>5.1%</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B0434A" w:rsidRPr="00B0434A" w:rsidRDefault="00125414" w:rsidP="00B0434A">
            <w:pPr>
              <w:pStyle w:val="TableText"/>
            </w:pPr>
            <w:r>
              <w:t>8.4%</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B0434A" w:rsidRPr="00B0434A" w:rsidRDefault="00125414" w:rsidP="00B0434A">
            <w:pPr>
              <w:pStyle w:val="TableText"/>
            </w:pPr>
            <w:r>
              <w:t>9.3%</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B0434A" w:rsidRPr="00B0434A" w:rsidRDefault="00125414" w:rsidP="00B0434A">
            <w:pPr>
              <w:pStyle w:val="TableText"/>
            </w:pPr>
            <w:r>
              <w:t>17.3%</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B0434A" w:rsidRPr="00B0434A" w:rsidRDefault="00125414" w:rsidP="00B0434A">
            <w:pPr>
              <w:pStyle w:val="TableText"/>
            </w:pPr>
            <w:r>
              <w:t>7.8%</w:t>
            </w:r>
          </w:p>
        </w:tc>
      </w:tr>
      <w:tr w:rsidR="00B0434A" w:rsidRPr="00797E5C" w:rsidTr="00B0434A">
        <w:trPr>
          <w:cantSplit/>
        </w:trPr>
        <w:tc>
          <w:tcPr>
            <w:tcW w:w="1915" w:type="dxa"/>
            <w:tcBorders>
              <w:top w:val="nil"/>
              <w:left w:val="single" w:sz="4" w:space="0" w:color="A39892"/>
              <w:bottom w:val="nil"/>
              <w:right w:val="single" w:sz="4" w:space="0" w:color="A39892"/>
            </w:tcBorders>
            <w:shd w:val="clear" w:color="auto" w:fill="auto"/>
          </w:tcPr>
          <w:p w:rsidR="00B0434A" w:rsidRPr="00797E5C" w:rsidRDefault="00B0434A" w:rsidP="00A42141">
            <w:pPr>
              <w:pStyle w:val="TableText"/>
              <w:spacing w:before="30" w:after="30"/>
              <w:rPr>
                <w:rFonts w:ascii="Times New Roman" w:hAnsi="Times New Roman"/>
                <w:sz w:val="24"/>
                <w:szCs w:val="24"/>
              </w:rPr>
            </w:pPr>
          </w:p>
        </w:tc>
        <w:tc>
          <w:tcPr>
            <w:tcW w:w="990" w:type="dxa"/>
            <w:tcBorders>
              <w:top w:val="single" w:sz="4" w:space="0" w:color="A39892"/>
              <w:left w:val="single" w:sz="4" w:space="0" w:color="A39892"/>
              <w:bottom w:val="single" w:sz="4" w:space="0" w:color="A39892"/>
              <w:right w:val="single" w:sz="4" w:space="0" w:color="A39892"/>
            </w:tcBorders>
            <w:shd w:val="clear" w:color="auto" w:fill="auto"/>
          </w:tcPr>
          <w:p w:rsidR="00B0434A" w:rsidRPr="00B0434A" w:rsidRDefault="00B0434A" w:rsidP="00B0434A">
            <w:pPr>
              <w:pStyle w:val="TableText"/>
            </w:pPr>
            <w:r w:rsidRPr="00B0434A">
              <w:t>2016–17</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B0434A" w:rsidRPr="00B0434A" w:rsidRDefault="00125414" w:rsidP="00B0434A">
            <w:pPr>
              <w:pStyle w:val="TableText"/>
            </w:pPr>
            <w:r>
              <w:t>35</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B0434A" w:rsidRPr="00B0434A" w:rsidRDefault="00125414" w:rsidP="00B0434A">
            <w:pPr>
              <w:pStyle w:val="TableText"/>
            </w:pPr>
            <w:r>
              <w:t>37</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B0434A" w:rsidRPr="00B0434A" w:rsidRDefault="00125414" w:rsidP="00B0434A">
            <w:pPr>
              <w:pStyle w:val="TableText"/>
            </w:pPr>
            <w:r>
              <w:t>57</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B0434A" w:rsidRPr="00B0434A" w:rsidRDefault="00125414" w:rsidP="00B0434A">
            <w:pPr>
              <w:pStyle w:val="TableText"/>
            </w:pPr>
            <w:r>
              <w:t>13</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B0434A" w:rsidRPr="00B0434A" w:rsidRDefault="00125414" w:rsidP="00B0434A">
            <w:pPr>
              <w:pStyle w:val="TableText"/>
            </w:pPr>
            <w:r>
              <w:t>22</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B0434A" w:rsidRPr="00B0434A" w:rsidRDefault="00125414" w:rsidP="00B0434A">
            <w:pPr>
              <w:pStyle w:val="TableText"/>
            </w:pPr>
            <w:r>
              <w:t>164</w:t>
            </w:r>
          </w:p>
        </w:tc>
      </w:tr>
      <w:tr w:rsidR="00B0434A" w:rsidRPr="00797E5C" w:rsidTr="00B0434A">
        <w:trPr>
          <w:cantSplit/>
        </w:trPr>
        <w:tc>
          <w:tcPr>
            <w:tcW w:w="1915" w:type="dxa"/>
            <w:tcBorders>
              <w:top w:val="nil"/>
              <w:left w:val="single" w:sz="4" w:space="0" w:color="A39892"/>
              <w:bottom w:val="single" w:sz="4" w:space="0" w:color="A39892"/>
              <w:right w:val="single" w:sz="4" w:space="0" w:color="A39892"/>
            </w:tcBorders>
            <w:shd w:val="clear" w:color="auto" w:fill="auto"/>
          </w:tcPr>
          <w:p w:rsidR="00B0434A" w:rsidRPr="00797E5C" w:rsidRDefault="00B0434A" w:rsidP="00A42141">
            <w:pPr>
              <w:pStyle w:val="TableText"/>
              <w:spacing w:before="30" w:after="30"/>
              <w:rPr>
                <w:rFonts w:ascii="Times New Roman" w:hAnsi="Times New Roman"/>
                <w:sz w:val="24"/>
                <w:szCs w:val="24"/>
              </w:rPr>
            </w:pPr>
          </w:p>
        </w:tc>
        <w:tc>
          <w:tcPr>
            <w:tcW w:w="990" w:type="dxa"/>
            <w:tcBorders>
              <w:top w:val="single" w:sz="4" w:space="0" w:color="A39892"/>
              <w:left w:val="single" w:sz="4" w:space="0" w:color="A39892"/>
              <w:bottom w:val="single" w:sz="4" w:space="0" w:color="A39892"/>
              <w:right w:val="single" w:sz="4" w:space="0" w:color="A39892"/>
            </w:tcBorders>
            <w:shd w:val="clear" w:color="auto" w:fill="auto"/>
          </w:tcPr>
          <w:p w:rsidR="00B0434A" w:rsidRPr="00B0434A" w:rsidRDefault="00B0434A" w:rsidP="00B0434A">
            <w:pPr>
              <w:pStyle w:val="TableText"/>
            </w:pP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B0434A" w:rsidRPr="00B0434A" w:rsidRDefault="00125414" w:rsidP="00B0434A">
            <w:pPr>
              <w:pStyle w:val="TableText"/>
            </w:pPr>
            <w:r>
              <w:t>10.6%</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B0434A" w:rsidRPr="00B0434A" w:rsidRDefault="00125414" w:rsidP="00B0434A">
            <w:pPr>
              <w:pStyle w:val="TableText"/>
            </w:pPr>
            <w:r>
              <w:t>11.5%</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B0434A" w:rsidRPr="00B0434A" w:rsidRDefault="00125414" w:rsidP="00B0434A">
            <w:pPr>
              <w:pStyle w:val="TableText"/>
            </w:pPr>
            <w:r>
              <w:t>12.3%</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B0434A" w:rsidRPr="00B0434A" w:rsidRDefault="00125414" w:rsidP="00B0434A">
            <w:pPr>
              <w:pStyle w:val="TableText"/>
            </w:pPr>
            <w:r>
              <w:t>13.8%</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B0434A" w:rsidRPr="00B0434A" w:rsidRDefault="00125414" w:rsidP="00B0434A">
            <w:pPr>
              <w:pStyle w:val="TableText"/>
            </w:pPr>
            <w:r>
              <w:t>16.7%</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B0434A" w:rsidRPr="00B0434A" w:rsidRDefault="00125414" w:rsidP="00B0434A">
            <w:pPr>
              <w:pStyle w:val="TableText"/>
            </w:pPr>
            <w:r>
              <w:t>12.2%</w:t>
            </w:r>
          </w:p>
        </w:tc>
      </w:tr>
    </w:tbl>
    <w:p w:rsidR="005747CD" w:rsidRDefault="005747CD" w:rsidP="005747CD">
      <w:pPr>
        <w:spacing w:before="120"/>
      </w:pPr>
      <w:r>
        <w:t>The adjournments during the year by kind and state are shown above in Table 6. The percentages in the table denote the proportion of heard applications where the hearings were adjourned.</w:t>
      </w:r>
    </w:p>
    <w:p w:rsidR="005747CD" w:rsidRDefault="005747CD" w:rsidP="005747CD">
      <w:pPr>
        <w:pStyle w:val="Heading4"/>
      </w:pPr>
      <w:bookmarkStart w:id="20" w:name="TOC_finalised2"/>
      <w:bookmarkEnd w:id="18"/>
      <w:r>
        <w:t>From Hearing to Publication of Decisions and Reasons</w:t>
      </w:r>
      <w:r w:rsidR="001D1DCA">
        <w:fldChar w:fldCharType="begin"/>
      </w:r>
      <w:r w:rsidR="001D1DCA">
        <w:instrText xml:space="preserve"> XE "</w:instrText>
      </w:r>
      <w:r w:rsidR="001D1DCA" w:rsidRPr="002D7689">
        <w:instrText>reasons</w:instrText>
      </w:r>
      <w:r w:rsidR="001D1DCA">
        <w:instrText xml:space="preserve">" </w:instrText>
      </w:r>
      <w:r w:rsidR="001D1DCA">
        <w:fldChar w:fldCharType="end"/>
      </w:r>
    </w:p>
    <w:p w:rsidR="005747CD" w:rsidRDefault="005747CD" w:rsidP="005747CD">
      <w:r>
        <w:t>The VRB aims to publish its decisions and reasons as soon as possible, and at most within 28 days, after the hearing. Each VRB panel hears up to three cases a day. After a hearing the panel discusses the merits of the case and allocates one member to draft the reasons. When this is done they are circulated to the other two members for comment and discussion. After every member is satisfied with the decision and reasons, the document is signed by all and given to the VRB Case Managers for publication.</w:t>
      </w:r>
    </w:p>
    <w:p w:rsidR="00942D8F" w:rsidRDefault="005747CD" w:rsidP="00942D8F">
      <w:r>
        <w:t>In finalising an application</w:t>
      </w:r>
      <w:r w:rsidR="00EC32B8">
        <w:fldChar w:fldCharType="begin"/>
      </w:r>
      <w:r w:rsidR="00EC32B8">
        <w:instrText xml:space="preserve"> XE "</w:instrText>
      </w:r>
      <w:r w:rsidR="00EC32B8" w:rsidRPr="00800C89">
        <w:instrText>applications:finalised</w:instrText>
      </w:r>
      <w:r w:rsidR="00EC32B8">
        <w:instrText xml:space="preserve">" \r "TOC_finalised2" </w:instrText>
      </w:r>
      <w:r w:rsidR="00EC32B8">
        <w:fldChar w:fldCharType="end"/>
      </w:r>
      <w:r>
        <w:t>, the VRB seeks to ensure not only that the applicant receives his or her proper entitlement, but also that the decision is published as soon as possible after the hearing. VRB records are examined each week for all cases heard for which a decision has not been</w:t>
      </w:r>
      <w:r w:rsidR="00942D8F">
        <w:t xml:space="preserve"> published. Each case more than three weeks old is then followed up by the Principal Member</w:t>
      </w:r>
      <w:r w:rsidR="001D1DCA">
        <w:fldChar w:fldCharType="begin"/>
      </w:r>
      <w:r w:rsidR="001D1DCA">
        <w:instrText xml:space="preserve"> XE "</w:instrText>
      </w:r>
      <w:r w:rsidR="001D1DCA" w:rsidRPr="002D7689">
        <w:instrText>Principal Member</w:instrText>
      </w:r>
      <w:r w:rsidR="001D1DCA">
        <w:instrText xml:space="preserve">" </w:instrText>
      </w:r>
      <w:r w:rsidR="001D1DCA">
        <w:fldChar w:fldCharType="end"/>
      </w:r>
      <w:r w:rsidR="00942D8F">
        <w:t xml:space="preserve"> to effect publication of the decision and reasons.</w:t>
      </w:r>
    </w:p>
    <w:p w:rsidR="005747CD" w:rsidRDefault="00942D8F" w:rsidP="00942D8F">
      <w:r>
        <w:t>During 2017–18 the average time for the VRB to complete this stage was 24.1 days. In 2016–17 the average time was 26.7 days.</w:t>
      </w:r>
    </w:p>
    <w:tbl>
      <w:tblPr>
        <w:tblW w:w="5000" w:type="pct"/>
        <w:tblBorders>
          <w:top w:val="single" w:sz="4" w:space="0" w:color="A39892"/>
          <w:left w:val="single" w:sz="4" w:space="0" w:color="A39892"/>
          <w:bottom w:val="single" w:sz="4" w:space="0" w:color="A39892"/>
          <w:right w:val="single" w:sz="4" w:space="0" w:color="A39892"/>
          <w:insideH w:val="single" w:sz="4" w:space="0" w:color="A39892"/>
          <w:insideV w:val="single" w:sz="4" w:space="0" w:color="A39892"/>
        </w:tblBorders>
        <w:tblLayout w:type="fixed"/>
        <w:tblCellMar>
          <w:left w:w="115" w:type="dxa"/>
          <w:right w:w="115" w:type="dxa"/>
        </w:tblCellMar>
        <w:tblLook w:val="0000" w:firstRow="0" w:lastRow="0" w:firstColumn="0" w:lastColumn="0" w:noHBand="0" w:noVBand="0"/>
      </w:tblPr>
      <w:tblGrid>
        <w:gridCol w:w="1915"/>
        <w:gridCol w:w="990"/>
        <w:gridCol w:w="840"/>
        <w:gridCol w:w="841"/>
        <w:gridCol w:w="840"/>
        <w:gridCol w:w="841"/>
        <w:gridCol w:w="840"/>
        <w:gridCol w:w="841"/>
      </w:tblGrid>
      <w:tr w:rsidR="003C7E09" w:rsidRPr="00797E5C" w:rsidTr="00A42141">
        <w:trPr>
          <w:cantSplit/>
          <w:tblHeader/>
        </w:trPr>
        <w:tc>
          <w:tcPr>
            <w:tcW w:w="7948" w:type="dxa"/>
            <w:gridSpan w:val="8"/>
            <w:tcBorders>
              <w:bottom w:val="single" w:sz="4" w:space="0" w:color="A39892"/>
            </w:tcBorders>
            <w:shd w:val="clear" w:color="auto" w:fill="A39892"/>
          </w:tcPr>
          <w:p w:rsidR="003C7E09" w:rsidRPr="00164C95" w:rsidRDefault="003C7E09" w:rsidP="00A42141">
            <w:pPr>
              <w:pStyle w:val="TableName"/>
            </w:pPr>
            <w:r w:rsidRPr="003C7E09">
              <w:lastRenderedPageBreak/>
              <w:t>Table 7: Applications times taken to process</w:t>
            </w:r>
          </w:p>
        </w:tc>
      </w:tr>
      <w:tr w:rsidR="003C7E09" w:rsidRPr="00797E5C" w:rsidTr="00EB20B1">
        <w:trPr>
          <w:cantSplit/>
        </w:trPr>
        <w:tc>
          <w:tcPr>
            <w:tcW w:w="1915" w:type="dxa"/>
            <w:tcBorders>
              <w:bottom w:val="single" w:sz="4" w:space="0" w:color="A39892"/>
            </w:tcBorders>
            <w:shd w:val="clear" w:color="auto" w:fill="C6BDB6"/>
          </w:tcPr>
          <w:p w:rsidR="003C7E09" w:rsidRPr="00797E5C" w:rsidRDefault="003C7E09" w:rsidP="00A42141">
            <w:pPr>
              <w:pStyle w:val="TableText"/>
              <w:spacing w:before="30" w:after="30"/>
              <w:rPr>
                <w:rFonts w:ascii="Times New Roman" w:hAnsi="Times New Roman"/>
                <w:sz w:val="24"/>
                <w:szCs w:val="24"/>
              </w:rPr>
            </w:pPr>
          </w:p>
        </w:tc>
        <w:tc>
          <w:tcPr>
            <w:tcW w:w="990" w:type="dxa"/>
            <w:tcBorders>
              <w:bottom w:val="single" w:sz="4" w:space="0" w:color="A39892"/>
            </w:tcBorders>
            <w:shd w:val="clear" w:color="auto" w:fill="C6BDB6"/>
          </w:tcPr>
          <w:p w:rsidR="003C7E09" w:rsidRPr="00797E5C" w:rsidRDefault="003C7E09" w:rsidP="00A42141">
            <w:pPr>
              <w:pStyle w:val="TableText"/>
              <w:spacing w:before="30" w:after="30"/>
              <w:rPr>
                <w:rFonts w:ascii="Times New Roman" w:hAnsi="Times New Roman"/>
                <w:sz w:val="24"/>
                <w:szCs w:val="24"/>
              </w:rPr>
            </w:pPr>
            <w:r w:rsidRPr="00797E5C">
              <w:t>Year</w:t>
            </w:r>
          </w:p>
        </w:tc>
        <w:tc>
          <w:tcPr>
            <w:tcW w:w="840" w:type="dxa"/>
            <w:tcBorders>
              <w:bottom w:val="single" w:sz="4" w:space="0" w:color="A39892"/>
            </w:tcBorders>
            <w:shd w:val="clear" w:color="auto" w:fill="C6BDB6"/>
          </w:tcPr>
          <w:p w:rsidR="003C7E09" w:rsidRPr="00797E5C" w:rsidRDefault="003C7E09" w:rsidP="00A42141">
            <w:pPr>
              <w:pStyle w:val="TableText"/>
              <w:spacing w:before="30" w:after="30"/>
              <w:rPr>
                <w:rFonts w:ascii="Times New Roman" w:hAnsi="Times New Roman"/>
                <w:sz w:val="24"/>
                <w:szCs w:val="24"/>
              </w:rPr>
            </w:pPr>
            <w:r w:rsidRPr="00797E5C">
              <w:t>NSW</w:t>
            </w:r>
          </w:p>
        </w:tc>
        <w:tc>
          <w:tcPr>
            <w:tcW w:w="841" w:type="dxa"/>
            <w:tcBorders>
              <w:bottom w:val="single" w:sz="4" w:space="0" w:color="A39892"/>
            </w:tcBorders>
            <w:shd w:val="clear" w:color="auto" w:fill="C6BDB6"/>
          </w:tcPr>
          <w:p w:rsidR="003C7E09" w:rsidRPr="00797E5C" w:rsidRDefault="003C7E09" w:rsidP="00A42141">
            <w:pPr>
              <w:pStyle w:val="TableText"/>
              <w:spacing w:before="30" w:after="30"/>
              <w:rPr>
                <w:rFonts w:ascii="Times New Roman" w:hAnsi="Times New Roman"/>
                <w:sz w:val="24"/>
                <w:szCs w:val="24"/>
              </w:rPr>
            </w:pPr>
            <w:r w:rsidRPr="00797E5C">
              <w:t>VIC</w:t>
            </w:r>
          </w:p>
        </w:tc>
        <w:tc>
          <w:tcPr>
            <w:tcW w:w="840" w:type="dxa"/>
            <w:tcBorders>
              <w:bottom w:val="single" w:sz="4" w:space="0" w:color="A39892"/>
            </w:tcBorders>
            <w:shd w:val="clear" w:color="auto" w:fill="C6BDB6"/>
          </w:tcPr>
          <w:p w:rsidR="003C7E09" w:rsidRPr="00797E5C" w:rsidRDefault="003C7E09" w:rsidP="00A42141">
            <w:pPr>
              <w:pStyle w:val="TableText"/>
              <w:spacing w:before="30" w:after="30"/>
              <w:rPr>
                <w:rFonts w:ascii="Times New Roman" w:hAnsi="Times New Roman"/>
                <w:sz w:val="24"/>
                <w:szCs w:val="24"/>
              </w:rPr>
            </w:pPr>
            <w:r w:rsidRPr="00797E5C">
              <w:t>QLD</w:t>
            </w:r>
          </w:p>
        </w:tc>
        <w:tc>
          <w:tcPr>
            <w:tcW w:w="841" w:type="dxa"/>
            <w:tcBorders>
              <w:bottom w:val="single" w:sz="4" w:space="0" w:color="A39892"/>
            </w:tcBorders>
            <w:shd w:val="clear" w:color="auto" w:fill="C6BDB6"/>
          </w:tcPr>
          <w:p w:rsidR="003C7E09" w:rsidRPr="00797E5C" w:rsidRDefault="003C7E09" w:rsidP="00A42141">
            <w:pPr>
              <w:pStyle w:val="TableText"/>
              <w:spacing w:before="30" w:after="30"/>
              <w:rPr>
                <w:rFonts w:ascii="Times New Roman" w:hAnsi="Times New Roman"/>
                <w:sz w:val="24"/>
                <w:szCs w:val="24"/>
              </w:rPr>
            </w:pPr>
            <w:r w:rsidRPr="00797E5C">
              <w:t>SA</w:t>
            </w:r>
          </w:p>
        </w:tc>
        <w:tc>
          <w:tcPr>
            <w:tcW w:w="840" w:type="dxa"/>
            <w:tcBorders>
              <w:bottom w:val="single" w:sz="4" w:space="0" w:color="A39892"/>
            </w:tcBorders>
            <w:shd w:val="clear" w:color="auto" w:fill="C6BDB6"/>
          </w:tcPr>
          <w:p w:rsidR="003C7E09" w:rsidRPr="00797E5C" w:rsidRDefault="003C7E09" w:rsidP="00A42141">
            <w:pPr>
              <w:pStyle w:val="TableText"/>
              <w:spacing w:before="30" w:after="30"/>
              <w:rPr>
                <w:rFonts w:ascii="Times New Roman" w:hAnsi="Times New Roman"/>
                <w:sz w:val="24"/>
                <w:szCs w:val="24"/>
              </w:rPr>
            </w:pPr>
            <w:r w:rsidRPr="00797E5C">
              <w:t>WA</w:t>
            </w:r>
          </w:p>
        </w:tc>
        <w:tc>
          <w:tcPr>
            <w:tcW w:w="841" w:type="dxa"/>
            <w:tcBorders>
              <w:bottom w:val="single" w:sz="4" w:space="0" w:color="A39892"/>
            </w:tcBorders>
            <w:shd w:val="clear" w:color="auto" w:fill="C6BDB6"/>
          </w:tcPr>
          <w:p w:rsidR="003C7E09" w:rsidRPr="00797E5C" w:rsidRDefault="003C7E09" w:rsidP="00A42141">
            <w:pPr>
              <w:pStyle w:val="TableText"/>
              <w:spacing w:before="30" w:after="30"/>
              <w:rPr>
                <w:rFonts w:ascii="Times New Roman" w:hAnsi="Times New Roman"/>
                <w:sz w:val="24"/>
                <w:szCs w:val="24"/>
              </w:rPr>
            </w:pPr>
            <w:r w:rsidRPr="00797E5C">
              <w:t>AUST</w:t>
            </w:r>
          </w:p>
        </w:tc>
      </w:tr>
      <w:tr w:rsidR="003C7E09" w:rsidRPr="00797E5C" w:rsidTr="00EB20B1">
        <w:trPr>
          <w:cantSplit/>
        </w:trPr>
        <w:tc>
          <w:tcPr>
            <w:tcW w:w="1915" w:type="dxa"/>
            <w:vMerge w:val="restart"/>
            <w:tcBorders>
              <w:bottom w:val="single" w:sz="4" w:space="0" w:color="A39892"/>
              <w:right w:val="single" w:sz="4" w:space="0" w:color="A39892"/>
            </w:tcBorders>
            <w:shd w:val="clear" w:color="auto" w:fill="F2DBDB" w:themeFill="accent2" w:themeFillTint="33"/>
          </w:tcPr>
          <w:p w:rsidR="003C7E09" w:rsidRPr="00B0434A" w:rsidRDefault="003C7E09" w:rsidP="00A42141">
            <w:pPr>
              <w:pStyle w:val="TableText"/>
            </w:pPr>
            <w:r>
              <w:t>Lodgement to receipt of s137 report</w:t>
            </w:r>
          </w:p>
        </w:tc>
        <w:tc>
          <w:tcPr>
            <w:tcW w:w="990" w:type="dxa"/>
            <w:tcBorders>
              <w:left w:val="single" w:sz="4" w:space="0" w:color="A39892"/>
              <w:bottom w:val="single" w:sz="4" w:space="0" w:color="A39892"/>
              <w:right w:val="single" w:sz="4" w:space="0" w:color="A39892"/>
            </w:tcBorders>
            <w:shd w:val="clear" w:color="auto" w:fill="F2DBDB" w:themeFill="accent2" w:themeFillTint="33"/>
          </w:tcPr>
          <w:p w:rsidR="003C7E09" w:rsidRPr="00797E5C" w:rsidRDefault="003C7E09" w:rsidP="00A42141">
            <w:pPr>
              <w:pStyle w:val="TableText"/>
              <w:rPr>
                <w:rFonts w:ascii="Times New Roman" w:hAnsi="Times New Roman"/>
                <w:sz w:val="24"/>
                <w:szCs w:val="24"/>
              </w:rPr>
            </w:pPr>
            <w:r w:rsidRPr="00797E5C">
              <w:t>2017–18</w:t>
            </w:r>
          </w:p>
        </w:tc>
        <w:tc>
          <w:tcPr>
            <w:tcW w:w="840" w:type="dxa"/>
            <w:tcBorders>
              <w:left w:val="single" w:sz="4" w:space="0" w:color="A39892"/>
              <w:bottom w:val="single" w:sz="4" w:space="0" w:color="A39892"/>
              <w:right w:val="single" w:sz="4" w:space="0" w:color="A39892"/>
            </w:tcBorders>
            <w:shd w:val="clear" w:color="auto" w:fill="F2DBDB" w:themeFill="accent2" w:themeFillTint="33"/>
          </w:tcPr>
          <w:p w:rsidR="003C7E09" w:rsidRPr="00B0434A" w:rsidRDefault="003C7E09" w:rsidP="00A42141">
            <w:pPr>
              <w:pStyle w:val="TableText"/>
            </w:pPr>
            <w:r>
              <w:t>43.4</w:t>
            </w:r>
          </w:p>
        </w:tc>
        <w:tc>
          <w:tcPr>
            <w:tcW w:w="841" w:type="dxa"/>
            <w:tcBorders>
              <w:left w:val="single" w:sz="4" w:space="0" w:color="A39892"/>
              <w:bottom w:val="single" w:sz="4" w:space="0" w:color="A39892"/>
              <w:right w:val="single" w:sz="4" w:space="0" w:color="A39892"/>
            </w:tcBorders>
            <w:shd w:val="clear" w:color="auto" w:fill="F2DBDB" w:themeFill="accent2" w:themeFillTint="33"/>
          </w:tcPr>
          <w:p w:rsidR="003C7E09" w:rsidRPr="00B0434A" w:rsidRDefault="003C7E09" w:rsidP="00A42141">
            <w:pPr>
              <w:pStyle w:val="TableText"/>
            </w:pPr>
            <w:r>
              <w:t>44.5</w:t>
            </w:r>
          </w:p>
        </w:tc>
        <w:tc>
          <w:tcPr>
            <w:tcW w:w="840" w:type="dxa"/>
            <w:tcBorders>
              <w:left w:val="single" w:sz="4" w:space="0" w:color="A39892"/>
              <w:bottom w:val="single" w:sz="4" w:space="0" w:color="A39892"/>
              <w:right w:val="single" w:sz="4" w:space="0" w:color="A39892"/>
            </w:tcBorders>
            <w:shd w:val="clear" w:color="auto" w:fill="F2DBDB" w:themeFill="accent2" w:themeFillTint="33"/>
          </w:tcPr>
          <w:p w:rsidR="003C7E09" w:rsidRPr="00B0434A" w:rsidRDefault="003C7E09" w:rsidP="00A42141">
            <w:pPr>
              <w:pStyle w:val="TableText"/>
            </w:pPr>
            <w:r>
              <w:t>41.1</w:t>
            </w:r>
          </w:p>
        </w:tc>
        <w:tc>
          <w:tcPr>
            <w:tcW w:w="841" w:type="dxa"/>
            <w:tcBorders>
              <w:left w:val="single" w:sz="4" w:space="0" w:color="A39892"/>
              <w:bottom w:val="single" w:sz="4" w:space="0" w:color="A39892"/>
              <w:right w:val="single" w:sz="4" w:space="0" w:color="A39892"/>
            </w:tcBorders>
            <w:shd w:val="clear" w:color="auto" w:fill="F2DBDB" w:themeFill="accent2" w:themeFillTint="33"/>
          </w:tcPr>
          <w:p w:rsidR="003C7E09" w:rsidRPr="00B0434A" w:rsidRDefault="003C7E09" w:rsidP="00A42141">
            <w:pPr>
              <w:pStyle w:val="TableText"/>
            </w:pPr>
            <w:r>
              <w:t>41.8</w:t>
            </w:r>
          </w:p>
        </w:tc>
        <w:tc>
          <w:tcPr>
            <w:tcW w:w="840" w:type="dxa"/>
            <w:tcBorders>
              <w:left w:val="single" w:sz="4" w:space="0" w:color="A39892"/>
              <w:bottom w:val="single" w:sz="4" w:space="0" w:color="A39892"/>
              <w:right w:val="single" w:sz="4" w:space="0" w:color="A39892"/>
            </w:tcBorders>
            <w:shd w:val="clear" w:color="auto" w:fill="F2DBDB" w:themeFill="accent2" w:themeFillTint="33"/>
          </w:tcPr>
          <w:p w:rsidR="003C7E09" w:rsidRPr="00B0434A" w:rsidRDefault="003C7E09" w:rsidP="00A42141">
            <w:pPr>
              <w:pStyle w:val="TableText"/>
            </w:pPr>
            <w:r>
              <w:t>44</w:t>
            </w:r>
          </w:p>
        </w:tc>
        <w:tc>
          <w:tcPr>
            <w:tcW w:w="841" w:type="dxa"/>
            <w:tcBorders>
              <w:left w:val="single" w:sz="4" w:space="0" w:color="A39892"/>
              <w:bottom w:val="single" w:sz="4" w:space="0" w:color="A39892"/>
            </w:tcBorders>
            <w:shd w:val="clear" w:color="auto" w:fill="F2DBDB" w:themeFill="accent2" w:themeFillTint="33"/>
          </w:tcPr>
          <w:p w:rsidR="003C7E09" w:rsidRPr="00B0434A" w:rsidRDefault="003C7E09" w:rsidP="00A42141">
            <w:pPr>
              <w:pStyle w:val="TableText"/>
            </w:pPr>
            <w:r>
              <w:t>42.8</w:t>
            </w:r>
          </w:p>
        </w:tc>
      </w:tr>
      <w:tr w:rsidR="003C7E09" w:rsidRPr="00797E5C" w:rsidTr="00EB20B1">
        <w:trPr>
          <w:cantSplit/>
        </w:trPr>
        <w:tc>
          <w:tcPr>
            <w:tcW w:w="1915" w:type="dxa"/>
            <w:vMerge/>
            <w:tcBorders>
              <w:top w:val="single" w:sz="4" w:space="0" w:color="A39892"/>
              <w:bottom w:val="single" w:sz="4" w:space="0" w:color="A39892"/>
              <w:right w:val="single" w:sz="4" w:space="0" w:color="A39892"/>
            </w:tcBorders>
            <w:shd w:val="clear" w:color="auto" w:fill="F2DBDB" w:themeFill="accent2" w:themeFillTint="33"/>
          </w:tcPr>
          <w:p w:rsidR="003C7E09" w:rsidRPr="00797E5C" w:rsidRDefault="003C7E09" w:rsidP="00A42141">
            <w:pPr>
              <w:pStyle w:val="TableText"/>
              <w:spacing w:before="30" w:after="30"/>
              <w:rPr>
                <w:rFonts w:ascii="Times New Roman" w:hAnsi="Times New Roman"/>
                <w:sz w:val="24"/>
                <w:szCs w:val="24"/>
              </w:rPr>
            </w:pPr>
          </w:p>
        </w:tc>
        <w:tc>
          <w:tcPr>
            <w:tcW w:w="990" w:type="dxa"/>
            <w:tcBorders>
              <w:top w:val="single" w:sz="4" w:space="0" w:color="A39892"/>
              <w:left w:val="single" w:sz="4" w:space="0" w:color="A39892"/>
              <w:right w:val="single" w:sz="4" w:space="0" w:color="A39892"/>
            </w:tcBorders>
            <w:shd w:val="clear" w:color="auto" w:fill="F2DBDB" w:themeFill="accent2" w:themeFillTint="33"/>
          </w:tcPr>
          <w:p w:rsidR="003C7E09" w:rsidRPr="00797E5C" w:rsidRDefault="003C7E09" w:rsidP="00A42141">
            <w:pPr>
              <w:pStyle w:val="TableText"/>
            </w:pPr>
            <w:r w:rsidRPr="00797E5C">
              <w:t>2016–17</w:t>
            </w:r>
          </w:p>
        </w:tc>
        <w:tc>
          <w:tcPr>
            <w:tcW w:w="840" w:type="dxa"/>
            <w:tcBorders>
              <w:top w:val="single" w:sz="4" w:space="0" w:color="A39892"/>
              <w:left w:val="single" w:sz="4" w:space="0" w:color="A39892"/>
              <w:right w:val="single" w:sz="4" w:space="0" w:color="A39892"/>
            </w:tcBorders>
            <w:shd w:val="clear" w:color="auto" w:fill="F2DBDB" w:themeFill="accent2" w:themeFillTint="33"/>
          </w:tcPr>
          <w:p w:rsidR="003C7E09" w:rsidRPr="00B0434A" w:rsidRDefault="003C7E09" w:rsidP="00A42141">
            <w:pPr>
              <w:pStyle w:val="TableText"/>
            </w:pPr>
            <w:r>
              <w:t>50.3</w:t>
            </w:r>
          </w:p>
        </w:tc>
        <w:tc>
          <w:tcPr>
            <w:tcW w:w="841" w:type="dxa"/>
            <w:tcBorders>
              <w:top w:val="single" w:sz="4" w:space="0" w:color="A39892"/>
              <w:left w:val="single" w:sz="4" w:space="0" w:color="A39892"/>
              <w:right w:val="single" w:sz="4" w:space="0" w:color="A39892"/>
            </w:tcBorders>
            <w:shd w:val="clear" w:color="auto" w:fill="F2DBDB" w:themeFill="accent2" w:themeFillTint="33"/>
          </w:tcPr>
          <w:p w:rsidR="003C7E09" w:rsidRPr="00B0434A" w:rsidRDefault="003C7E09" w:rsidP="00A42141">
            <w:pPr>
              <w:pStyle w:val="TableText"/>
            </w:pPr>
            <w:r>
              <w:t>55.5</w:t>
            </w:r>
          </w:p>
        </w:tc>
        <w:tc>
          <w:tcPr>
            <w:tcW w:w="840" w:type="dxa"/>
            <w:tcBorders>
              <w:top w:val="single" w:sz="4" w:space="0" w:color="A39892"/>
              <w:left w:val="single" w:sz="4" w:space="0" w:color="A39892"/>
              <w:right w:val="single" w:sz="4" w:space="0" w:color="A39892"/>
            </w:tcBorders>
            <w:shd w:val="clear" w:color="auto" w:fill="F2DBDB" w:themeFill="accent2" w:themeFillTint="33"/>
          </w:tcPr>
          <w:p w:rsidR="003C7E09" w:rsidRPr="00B0434A" w:rsidRDefault="003C7E09" w:rsidP="00A42141">
            <w:pPr>
              <w:pStyle w:val="TableText"/>
            </w:pPr>
            <w:r>
              <w:t>48.2</w:t>
            </w:r>
          </w:p>
        </w:tc>
        <w:tc>
          <w:tcPr>
            <w:tcW w:w="841" w:type="dxa"/>
            <w:tcBorders>
              <w:top w:val="single" w:sz="4" w:space="0" w:color="A39892"/>
              <w:left w:val="single" w:sz="4" w:space="0" w:color="A39892"/>
              <w:right w:val="single" w:sz="4" w:space="0" w:color="A39892"/>
            </w:tcBorders>
            <w:shd w:val="clear" w:color="auto" w:fill="F2DBDB" w:themeFill="accent2" w:themeFillTint="33"/>
          </w:tcPr>
          <w:p w:rsidR="003C7E09" w:rsidRPr="00B0434A" w:rsidRDefault="003C7E09" w:rsidP="00A42141">
            <w:pPr>
              <w:pStyle w:val="TableText"/>
            </w:pPr>
            <w:r>
              <w:t>57.2</w:t>
            </w:r>
          </w:p>
        </w:tc>
        <w:tc>
          <w:tcPr>
            <w:tcW w:w="840" w:type="dxa"/>
            <w:tcBorders>
              <w:top w:val="single" w:sz="4" w:space="0" w:color="A39892"/>
              <w:left w:val="single" w:sz="4" w:space="0" w:color="A39892"/>
              <w:right w:val="single" w:sz="4" w:space="0" w:color="A39892"/>
            </w:tcBorders>
            <w:shd w:val="clear" w:color="auto" w:fill="F2DBDB" w:themeFill="accent2" w:themeFillTint="33"/>
          </w:tcPr>
          <w:p w:rsidR="003C7E09" w:rsidRPr="00B0434A" w:rsidRDefault="003C7E09" w:rsidP="00A42141">
            <w:pPr>
              <w:pStyle w:val="TableText"/>
            </w:pPr>
            <w:r>
              <w:t>56.6</w:t>
            </w:r>
          </w:p>
        </w:tc>
        <w:tc>
          <w:tcPr>
            <w:tcW w:w="841" w:type="dxa"/>
            <w:tcBorders>
              <w:top w:val="single" w:sz="4" w:space="0" w:color="A39892"/>
              <w:left w:val="single" w:sz="4" w:space="0" w:color="A39892"/>
            </w:tcBorders>
            <w:shd w:val="clear" w:color="auto" w:fill="F2DBDB" w:themeFill="accent2" w:themeFillTint="33"/>
          </w:tcPr>
          <w:p w:rsidR="003C7E09" w:rsidRPr="00B0434A" w:rsidRDefault="003C7E09" w:rsidP="00A42141">
            <w:pPr>
              <w:pStyle w:val="TableText"/>
            </w:pPr>
            <w:r>
              <w:t>51.1</w:t>
            </w:r>
          </w:p>
        </w:tc>
      </w:tr>
      <w:tr w:rsidR="003C7E09" w:rsidRPr="00797E5C" w:rsidTr="00A42141">
        <w:trPr>
          <w:cantSplit/>
        </w:trPr>
        <w:tc>
          <w:tcPr>
            <w:tcW w:w="1915" w:type="dxa"/>
            <w:vMerge w:val="restart"/>
            <w:tcBorders>
              <w:top w:val="single" w:sz="4" w:space="0" w:color="A39892"/>
              <w:left w:val="single" w:sz="4" w:space="0" w:color="A39892"/>
              <w:right w:val="single" w:sz="4" w:space="0" w:color="A39892"/>
            </w:tcBorders>
            <w:shd w:val="clear" w:color="auto" w:fill="auto"/>
          </w:tcPr>
          <w:p w:rsidR="003C7E09" w:rsidRPr="003C7E09" w:rsidRDefault="003C7E09" w:rsidP="003C7E09">
            <w:pPr>
              <w:pStyle w:val="TableText"/>
            </w:pPr>
            <w:r w:rsidRPr="003C7E09">
              <w:t>Receipt of s137 report to s148 notice sent</w:t>
            </w:r>
          </w:p>
        </w:tc>
        <w:tc>
          <w:tcPr>
            <w:tcW w:w="990" w:type="dxa"/>
            <w:tcBorders>
              <w:top w:val="single" w:sz="4" w:space="0" w:color="A39892"/>
              <w:left w:val="single" w:sz="4" w:space="0" w:color="A39892"/>
              <w:bottom w:val="single" w:sz="4" w:space="0" w:color="A39892"/>
              <w:right w:val="single" w:sz="4" w:space="0" w:color="A39892"/>
            </w:tcBorders>
            <w:shd w:val="clear" w:color="auto" w:fill="auto"/>
          </w:tcPr>
          <w:p w:rsidR="003C7E09" w:rsidRPr="003C7E09" w:rsidRDefault="003C7E09" w:rsidP="00A42141">
            <w:pPr>
              <w:pStyle w:val="TableText"/>
            </w:pPr>
            <w:r w:rsidRPr="00797E5C">
              <w:t>2017–18</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C7E09" w:rsidRPr="00B0434A" w:rsidRDefault="003C7E09" w:rsidP="00A42141">
            <w:pPr>
              <w:pStyle w:val="TableText"/>
            </w:pPr>
            <w:r>
              <w:t>12.4</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C7E09" w:rsidRPr="00B0434A" w:rsidRDefault="003C7E09" w:rsidP="00A42141">
            <w:pPr>
              <w:pStyle w:val="TableText"/>
            </w:pPr>
            <w:r>
              <w:t>9.7</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C7E09" w:rsidRPr="00B0434A" w:rsidRDefault="003C7E09" w:rsidP="00A42141">
            <w:pPr>
              <w:pStyle w:val="TableText"/>
            </w:pPr>
            <w:r>
              <w:t>28.5</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C7E09" w:rsidRPr="00B0434A" w:rsidRDefault="003C7E09" w:rsidP="00A42141">
            <w:pPr>
              <w:pStyle w:val="TableText"/>
            </w:pPr>
            <w:r>
              <w:t>23.1</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C7E09" w:rsidRPr="00B0434A" w:rsidRDefault="003C7E09" w:rsidP="00A42141">
            <w:pPr>
              <w:pStyle w:val="TableText"/>
            </w:pPr>
            <w:r>
              <w:t>23.4</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C7E09" w:rsidRPr="00B0434A" w:rsidRDefault="003C7E09" w:rsidP="00A42141">
            <w:pPr>
              <w:pStyle w:val="TableText"/>
            </w:pPr>
            <w:r>
              <w:t>17.9</w:t>
            </w:r>
          </w:p>
        </w:tc>
      </w:tr>
      <w:tr w:rsidR="003C7E09" w:rsidRPr="00797E5C" w:rsidTr="00EB20B1">
        <w:trPr>
          <w:cantSplit/>
        </w:trPr>
        <w:tc>
          <w:tcPr>
            <w:tcW w:w="1915" w:type="dxa"/>
            <w:vMerge/>
            <w:tcBorders>
              <w:left w:val="single" w:sz="4" w:space="0" w:color="A39892"/>
              <w:bottom w:val="single" w:sz="4" w:space="0" w:color="A39892"/>
              <w:right w:val="single" w:sz="4" w:space="0" w:color="A39892"/>
            </w:tcBorders>
            <w:shd w:val="clear" w:color="auto" w:fill="auto"/>
          </w:tcPr>
          <w:p w:rsidR="003C7E09" w:rsidRPr="003C7E09" w:rsidRDefault="003C7E09" w:rsidP="003C7E09">
            <w:pPr>
              <w:pStyle w:val="TableText"/>
            </w:pPr>
          </w:p>
        </w:tc>
        <w:tc>
          <w:tcPr>
            <w:tcW w:w="990" w:type="dxa"/>
            <w:tcBorders>
              <w:top w:val="single" w:sz="4" w:space="0" w:color="A39892"/>
              <w:left w:val="single" w:sz="4" w:space="0" w:color="A39892"/>
              <w:bottom w:val="single" w:sz="4" w:space="0" w:color="A39892"/>
              <w:right w:val="single" w:sz="4" w:space="0" w:color="A39892"/>
            </w:tcBorders>
            <w:shd w:val="clear" w:color="auto" w:fill="auto"/>
          </w:tcPr>
          <w:p w:rsidR="003C7E09" w:rsidRPr="00797E5C" w:rsidRDefault="003C7E09" w:rsidP="00A42141">
            <w:pPr>
              <w:pStyle w:val="TableText"/>
            </w:pPr>
            <w:r w:rsidRPr="00797E5C">
              <w:t>2016–17</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C7E09" w:rsidRPr="00B0434A" w:rsidRDefault="003C7E09" w:rsidP="00A42141">
            <w:pPr>
              <w:pStyle w:val="TableText"/>
            </w:pPr>
            <w:r>
              <w:t>12.9</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C7E09" w:rsidRPr="00B0434A" w:rsidRDefault="003C7E09" w:rsidP="00A42141">
            <w:pPr>
              <w:pStyle w:val="TableText"/>
            </w:pPr>
            <w:r>
              <w:t>14.9</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C7E09" w:rsidRPr="00B0434A" w:rsidRDefault="003C7E09" w:rsidP="00A42141">
            <w:pPr>
              <w:pStyle w:val="TableText"/>
            </w:pPr>
            <w:r>
              <w:t>22.4</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C7E09" w:rsidRPr="00B0434A" w:rsidRDefault="003C7E09" w:rsidP="00A42141">
            <w:pPr>
              <w:pStyle w:val="TableText"/>
            </w:pPr>
            <w:r>
              <w:t>22.8</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C7E09" w:rsidRPr="00B0434A" w:rsidRDefault="003C7E09" w:rsidP="00A42141">
            <w:pPr>
              <w:pStyle w:val="TableText"/>
            </w:pPr>
            <w:r>
              <w:t>21.2</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C7E09" w:rsidRPr="00B0434A" w:rsidRDefault="003C7E09" w:rsidP="00A42141">
            <w:pPr>
              <w:pStyle w:val="TableText"/>
            </w:pPr>
            <w:r>
              <w:t>17.3</w:t>
            </w:r>
          </w:p>
        </w:tc>
      </w:tr>
      <w:tr w:rsidR="003C7E09" w:rsidRPr="00797E5C" w:rsidTr="00EB20B1">
        <w:trPr>
          <w:cantSplit/>
        </w:trPr>
        <w:tc>
          <w:tcPr>
            <w:tcW w:w="1915" w:type="dxa"/>
            <w:vMerge w:val="restart"/>
            <w:tcBorders>
              <w:top w:val="single" w:sz="4" w:space="0" w:color="A39892"/>
              <w:left w:val="single" w:sz="4" w:space="0" w:color="A39892"/>
              <w:right w:val="single" w:sz="4" w:space="0" w:color="A39892"/>
            </w:tcBorders>
            <w:shd w:val="clear" w:color="auto" w:fill="F8ECEC"/>
          </w:tcPr>
          <w:p w:rsidR="003C7E09" w:rsidRPr="003C7E09" w:rsidRDefault="003C7E09" w:rsidP="003C7E09">
            <w:pPr>
              <w:pStyle w:val="TableText"/>
            </w:pPr>
            <w:r w:rsidRPr="003C7E09">
              <w:t>S 148 notice sent to its return</w:t>
            </w:r>
          </w:p>
        </w:tc>
        <w:tc>
          <w:tcPr>
            <w:tcW w:w="990" w:type="dxa"/>
            <w:tcBorders>
              <w:top w:val="single" w:sz="4" w:space="0" w:color="A39892"/>
              <w:left w:val="single" w:sz="4" w:space="0" w:color="A39892"/>
              <w:bottom w:val="single" w:sz="4" w:space="0" w:color="A39892"/>
              <w:right w:val="single" w:sz="4" w:space="0" w:color="A39892"/>
            </w:tcBorders>
            <w:shd w:val="clear" w:color="auto" w:fill="F8ECEC"/>
          </w:tcPr>
          <w:p w:rsidR="003C7E09" w:rsidRPr="003C7E09" w:rsidRDefault="003C7E09" w:rsidP="00A42141">
            <w:pPr>
              <w:pStyle w:val="TableText"/>
            </w:pPr>
            <w:r w:rsidRPr="00797E5C">
              <w:t>2017–18</w:t>
            </w:r>
          </w:p>
        </w:tc>
        <w:tc>
          <w:tcPr>
            <w:tcW w:w="840" w:type="dxa"/>
            <w:tcBorders>
              <w:top w:val="single" w:sz="4" w:space="0" w:color="A39892"/>
              <w:left w:val="single" w:sz="4" w:space="0" w:color="A39892"/>
              <w:bottom w:val="single" w:sz="4" w:space="0" w:color="A39892"/>
              <w:right w:val="single" w:sz="4" w:space="0" w:color="A39892"/>
            </w:tcBorders>
            <w:shd w:val="clear" w:color="auto" w:fill="F8ECEC"/>
          </w:tcPr>
          <w:p w:rsidR="003C7E09" w:rsidRPr="00B0434A" w:rsidRDefault="003C7E09" w:rsidP="00A42141">
            <w:pPr>
              <w:pStyle w:val="TableText"/>
            </w:pPr>
            <w:r>
              <w:t>45.2</w:t>
            </w:r>
          </w:p>
        </w:tc>
        <w:tc>
          <w:tcPr>
            <w:tcW w:w="841" w:type="dxa"/>
            <w:tcBorders>
              <w:top w:val="single" w:sz="4" w:space="0" w:color="A39892"/>
              <w:left w:val="single" w:sz="4" w:space="0" w:color="A39892"/>
              <w:bottom w:val="single" w:sz="4" w:space="0" w:color="A39892"/>
              <w:right w:val="single" w:sz="4" w:space="0" w:color="A39892"/>
            </w:tcBorders>
            <w:shd w:val="clear" w:color="auto" w:fill="F8ECEC"/>
          </w:tcPr>
          <w:p w:rsidR="003C7E09" w:rsidRPr="00B0434A" w:rsidRDefault="003C7E09" w:rsidP="00A42141">
            <w:pPr>
              <w:pStyle w:val="TableText"/>
            </w:pPr>
            <w:r>
              <w:t>39.9</w:t>
            </w:r>
          </w:p>
        </w:tc>
        <w:tc>
          <w:tcPr>
            <w:tcW w:w="840" w:type="dxa"/>
            <w:tcBorders>
              <w:top w:val="single" w:sz="4" w:space="0" w:color="A39892"/>
              <w:left w:val="single" w:sz="4" w:space="0" w:color="A39892"/>
              <w:bottom w:val="single" w:sz="4" w:space="0" w:color="A39892"/>
              <w:right w:val="single" w:sz="4" w:space="0" w:color="A39892"/>
            </w:tcBorders>
            <w:shd w:val="clear" w:color="auto" w:fill="F8ECEC"/>
          </w:tcPr>
          <w:p w:rsidR="003C7E09" w:rsidRPr="00B0434A" w:rsidRDefault="003C7E09" w:rsidP="00A42141">
            <w:pPr>
              <w:pStyle w:val="TableText"/>
            </w:pPr>
            <w:r>
              <w:t>34.7</w:t>
            </w:r>
          </w:p>
        </w:tc>
        <w:tc>
          <w:tcPr>
            <w:tcW w:w="841" w:type="dxa"/>
            <w:tcBorders>
              <w:top w:val="single" w:sz="4" w:space="0" w:color="A39892"/>
              <w:left w:val="single" w:sz="4" w:space="0" w:color="A39892"/>
              <w:bottom w:val="single" w:sz="4" w:space="0" w:color="A39892"/>
              <w:right w:val="single" w:sz="4" w:space="0" w:color="A39892"/>
            </w:tcBorders>
            <w:shd w:val="clear" w:color="auto" w:fill="F8ECEC"/>
          </w:tcPr>
          <w:p w:rsidR="003C7E09" w:rsidRPr="00B0434A" w:rsidRDefault="003C7E09" w:rsidP="00A42141">
            <w:pPr>
              <w:pStyle w:val="TableText"/>
            </w:pPr>
            <w:r>
              <w:t>40</w:t>
            </w:r>
          </w:p>
        </w:tc>
        <w:tc>
          <w:tcPr>
            <w:tcW w:w="840" w:type="dxa"/>
            <w:tcBorders>
              <w:top w:val="single" w:sz="4" w:space="0" w:color="A39892"/>
              <w:left w:val="single" w:sz="4" w:space="0" w:color="A39892"/>
              <w:bottom w:val="single" w:sz="4" w:space="0" w:color="A39892"/>
              <w:right w:val="single" w:sz="4" w:space="0" w:color="A39892"/>
            </w:tcBorders>
            <w:shd w:val="clear" w:color="auto" w:fill="F8ECEC"/>
          </w:tcPr>
          <w:p w:rsidR="003C7E09" w:rsidRPr="00B0434A" w:rsidRDefault="003C7E09" w:rsidP="00A42141">
            <w:pPr>
              <w:pStyle w:val="TableText"/>
            </w:pPr>
            <w:r>
              <w:t>38.5</w:t>
            </w:r>
          </w:p>
        </w:tc>
        <w:tc>
          <w:tcPr>
            <w:tcW w:w="841" w:type="dxa"/>
            <w:tcBorders>
              <w:top w:val="single" w:sz="4" w:space="0" w:color="A39892"/>
              <w:left w:val="single" w:sz="4" w:space="0" w:color="A39892"/>
              <w:bottom w:val="single" w:sz="4" w:space="0" w:color="A39892"/>
              <w:right w:val="single" w:sz="4" w:space="0" w:color="A39892"/>
            </w:tcBorders>
            <w:shd w:val="clear" w:color="auto" w:fill="F8ECEC"/>
          </w:tcPr>
          <w:p w:rsidR="003C7E09" w:rsidRPr="00B0434A" w:rsidRDefault="003C7E09" w:rsidP="00A42141">
            <w:pPr>
              <w:pStyle w:val="TableText"/>
            </w:pPr>
            <w:r>
              <w:t>40.9</w:t>
            </w:r>
          </w:p>
        </w:tc>
      </w:tr>
      <w:tr w:rsidR="003C7E09" w:rsidRPr="00797E5C" w:rsidTr="00EB20B1">
        <w:trPr>
          <w:cantSplit/>
        </w:trPr>
        <w:tc>
          <w:tcPr>
            <w:tcW w:w="1915" w:type="dxa"/>
            <w:vMerge/>
            <w:tcBorders>
              <w:left w:val="single" w:sz="4" w:space="0" w:color="A39892"/>
              <w:bottom w:val="single" w:sz="4" w:space="0" w:color="A39892"/>
              <w:right w:val="single" w:sz="4" w:space="0" w:color="A39892"/>
            </w:tcBorders>
            <w:shd w:val="clear" w:color="auto" w:fill="F8ECEC"/>
          </w:tcPr>
          <w:p w:rsidR="003C7E09" w:rsidRPr="003C7E09" w:rsidRDefault="003C7E09" w:rsidP="003C7E09">
            <w:pPr>
              <w:pStyle w:val="TableText"/>
            </w:pPr>
          </w:p>
        </w:tc>
        <w:tc>
          <w:tcPr>
            <w:tcW w:w="990" w:type="dxa"/>
            <w:tcBorders>
              <w:top w:val="single" w:sz="4" w:space="0" w:color="A39892"/>
              <w:left w:val="single" w:sz="4" w:space="0" w:color="A39892"/>
              <w:bottom w:val="single" w:sz="4" w:space="0" w:color="A39892"/>
              <w:right w:val="single" w:sz="4" w:space="0" w:color="A39892"/>
            </w:tcBorders>
            <w:shd w:val="clear" w:color="auto" w:fill="F8ECEC"/>
          </w:tcPr>
          <w:p w:rsidR="003C7E09" w:rsidRPr="00797E5C" w:rsidRDefault="003C7E09" w:rsidP="00A42141">
            <w:pPr>
              <w:pStyle w:val="TableText"/>
            </w:pPr>
            <w:r w:rsidRPr="00797E5C">
              <w:t>2016–17</w:t>
            </w:r>
          </w:p>
        </w:tc>
        <w:tc>
          <w:tcPr>
            <w:tcW w:w="840" w:type="dxa"/>
            <w:tcBorders>
              <w:top w:val="single" w:sz="4" w:space="0" w:color="A39892"/>
              <w:left w:val="single" w:sz="4" w:space="0" w:color="A39892"/>
              <w:bottom w:val="single" w:sz="4" w:space="0" w:color="A39892"/>
              <w:right w:val="single" w:sz="4" w:space="0" w:color="A39892"/>
            </w:tcBorders>
            <w:shd w:val="clear" w:color="auto" w:fill="F8ECEC"/>
          </w:tcPr>
          <w:p w:rsidR="003C7E09" w:rsidRPr="00B0434A" w:rsidRDefault="003C7E09" w:rsidP="00A42141">
            <w:pPr>
              <w:pStyle w:val="TableText"/>
            </w:pPr>
            <w:r>
              <w:t>34.3</w:t>
            </w:r>
          </w:p>
        </w:tc>
        <w:tc>
          <w:tcPr>
            <w:tcW w:w="841" w:type="dxa"/>
            <w:tcBorders>
              <w:top w:val="single" w:sz="4" w:space="0" w:color="A39892"/>
              <w:left w:val="single" w:sz="4" w:space="0" w:color="A39892"/>
              <w:bottom w:val="single" w:sz="4" w:space="0" w:color="A39892"/>
              <w:right w:val="single" w:sz="4" w:space="0" w:color="A39892"/>
            </w:tcBorders>
            <w:shd w:val="clear" w:color="auto" w:fill="F8ECEC"/>
          </w:tcPr>
          <w:p w:rsidR="003C7E09" w:rsidRPr="00B0434A" w:rsidRDefault="003C7E09" w:rsidP="00A42141">
            <w:pPr>
              <w:pStyle w:val="TableText"/>
            </w:pPr>
            <w:r>
              <w:t>40.6</w:t>
            </w:r>
          </w:p>
        </w:tc>
        <w:tc>
          <w:tcPr>
            <w:tcW w:w="840" w:type="dxa"/>
            <w:tcBorders>
              <w:top w:val="single" w:sz="4" w:space="0" w:color="A39892"/>
              <w:left w:val="single" w:sz="4" w:space="0" w:color="A39892"/>
              <w:bottom w:val="single" w:sz="4" w:space="0" w:color="A39892"/>
              <w:right w:val="single" w:sz="4" w:space="0" w:color="A39892"/>
            </w:tcBorders>
            <w:shd w:val="clear" w:color="auto" w:fill="F8ECEC"/>
          </w:tcPr>
          <w:p w:rsidR="003C7E09" w:rsidRPr="00B0434A" w:rsidRDefault="003C7E09" w:rsidP="00A42141">
            <w:pPr>
              <w:pStyle w:val="TableText"/>
            </w:pPr>
            <w:r>
              <w:t>34.7</w:t>
            </w:r>
          </w:p>
        </w:tc>
        <w:tc>
          <w:tcPr>
            <w:tcW w:w="841" w:type="dxa"/>
            <w:tcBorders>
              <w:top w:val="single" w:sz="4" w:space="0" w:color="A39892"/>
              <w:left w:val="single" w:sz="4" w:space="0" w:color="A39892"/>
              <w:bottom w:val="single" w:sz="4" w:space="0" w:color="A39892"/>
              <w:right w:val="single" w:sz="4" w:space="0" w:color="A39892"/>
            </w:tcBorders>
            <w:shd w:val="clear" w:color="auto" w:fill="F8ECEC"/>
          </w:tcPr>
          <w:p w:rsidR="003C7E09" w:rsidRPr="00B0434A" w:rsidRDefault="003C7E09" w:rsidP="00A42141">
            <w:pPr>
              <w:pStyle w:val="TableText"/>
            </w:pPr>
            <w:r>
              <w:t>40</w:t>
            </w:r>
          </w:p>
        </w:tc>
        <w:tc>
          <w:tcPr>
            <w:tcW w:w="840" w:type="dxa"/>
            <w:tcBorders>
              <w:top w:val="single" w:sz="4" w:space="0" w:color="A39892"/>
              <w:left w:val="single" w:sz="4" w:space="0" w:color="A39892"/>
              <w:bottom w:val="single" w:sz="4" w:space="0" w:color="A39892"/>
              <w:right w:val="single" w:sz="4" w:space="0" w:color="A39892"/>
            </w:tcBorders>
            <w:shd w:val="clear" w:color="auto" w:fill="F8ECEC"/>
          </w:tcPr>
          <w:p w:rsidR="003C7E09" w:rsidRPr="00B0434A" w:rsidRDefault="003C7E09" w:rsidP="00A42141">
            <w:pPr>
              <w:pStyle w:val="TableText"/>
            </w:pPr>
            <w:r>
              <w:t>38.5</w:t>
            </w:r>
          </w:p>
        </w:tc>
        <w:tc>
          <w:tcPr>
            <w:tcW w:w="841" w:type="dxa"/>
            <w:tcBorders>
              <w:top w:val="single" w:sz="4" w:space="0" w:color="A39892"/>
              <w:left w:val="single" w:sz="4" w:space="0" w:color="A39892"/>
              <w:bottom w:val="single" w:sz="4" w:space="0" w:color="A39892"/>
              <w:right w:val="single" w:sz="4" w:space="0" w:color="A39892"/>
            </w:tcBorders>
            <w:shd w:val="clear" w:color="auto" w:fill="F8ECEC"/>
          </w:tcPr>
          <w:p w:rsidR="003C7E09" w:rsidRPr="00B0434A" w:rsidRDefault="003C7E09" w:rsidP="00A42141">
            <w:pPr>
              <w:pStyle w:val="TableText"/>
            </w:pPr>
            <w:r>
              <w:t>40.9</w:t>
            </w:r>
          </w:p>
        </w:tc>
      </w:tr>
      <w:tr w:rsidR="003C7E09" w:rsidRPr="00797E5C" w:rsidTr="00EB20B1">
        <w:trPr>
          <w:cantSplit/>
        </w:trPr>
        <w:tc>
          <w:tcPr>
            <w:tcW w:w="1915" w:type="dxa"/>
            <w:vMerge w:val="restart"/>
            <w:tcBorders>
              <w:top w:val="single" w:sz="4" w:space="0" w:color="A39892"/>
              <w:left w:val="single" w:sz="4" w:space="0" w:color="A39892"/>
              <w:right w:val="single" w:sz="4" w:space="0" w:color="A39892"/>
            </w:tcBorders>
            <w:shd w:val="clear" w:color="auto" w:fill="F8ECEC"/>
          </w:tcPr>
          <w:p w:rsidR="003C7E09" w:rsidRPr="003C7E09" w:rsidRDefault="003C7E09" w:rsidP="003C7E09">
            <w:pPr>
              <w:pStyle w:val="TableText"/>
            </w:pPr>
            <w:r w:rsidRPr="003C7E09">
              <w:t>COR sent to its return</w:t>
            </w:r>
          </w:p>
        </w:tc>
        <w:tc>
          <w:tcPr>
            <w:tcW w:w="990" w:type="dxa"/>
            <w:tcBorders>
              <w:top w:val="single" w:sz="4" w:space="0" w:color="A39892"/>
              <w:left w:val="single" w:sz="4" w:space="0" w:color="A39892"/>
              <w:bottom w:val="single" w:sz="4" w:space="0" w:color="A39892"/>
              <w:right w:val="single" w:sz="4" w:space="0" w:color="A39892"/>
            </w:tcBorders>
            <w:shd w:val="clear" w:color="auto" w:fill="F8ECEC"/>
          </w:tcPr>
          <w:p w:rsidR="003C7E09" w:rsidRPr="003C7E09" w:rsidRDefault="003C7E09" w:rsidP="00A42141">
            <w:pPr>
              <w:pStyle w:val="TableText"/>
            </w:pPr>
            <w:r w:rsidRPr="00797E5C">
              <w:t>2017–18</w:t>
            </w:r>
          </w:p>
        </w:tc>
        <w:tc>
          <w:tcPr>
            <w:tcW w:w="840" w:type="dxa"/>
            <w:tcBorders>
              <w:top w:val="single" w:sz="4" w:space="0" w:color="A39892"/>
              <w:left w:val="single" w:sz="4" w:space="0" w:color="A39892"/>
              <w:bottom w:val="single" w:sz="4" w:space="0" w:color="A39892"/>
              <w:right w:val="single" w:sz="4" w:space="0" w:color="A39892"/>
            </w:tcBorders>
            <w:shd w:val="clear" w:color="auto" w:fill="F8ECEC"/>
          </w:tcPr>
          <w:p w:rsidR="003C7E09" w:rsidRPr="00B0434A" w:rsidRDefault="003C7E09" w:rsidP="00A42141">
            <w:pPr>
              <w:pStyle w:val="TableText"/>
            </w:pPr>
            <w:r>
              <w:t>345.7</w:t>
            </w:r>
          </w:p>
        </w:tc>
        <w:tc>
          <w:tcPr>
            <w:tcW w:w="841" w:type="dxa"/>
            <w:tcBorders>
              <w:top w:val="single" w:sz="4" w:space="0" w:color="A39892"/>
              <w:left w:val="single" w:sz="4" w:space="0" w:color="A39892"/>
              <w:bottom w:val="single" w:sz="4" w:space="0" w:color="A39892"/>
              <w:right w:val="single" w:sz="4" w:space="0" w:color="A39892"/>
            </w:tcBorders>
            <w:shd w:val="clear" w:color="auto" w:fill="F8ECEC"/>
          </w:tcPr>
          <w:p w:rsidR="003C7E09" w:rsidRPr="00B0434A" w:rsidRDefault="003C7E09" w:rsidP="00A42141">
            <w:pPr>
              <w:pStyle w:val="TableText"/>
            </w:pPr>
            <w:r>
              <w:t>500.8</w:t>
            </w:r>
          </w:p>
        </w:tc>
        <w:tc>
          <w:tcPr>
            <w:tcW w:w="840" w:type="dxa"/>
            <w:tcBorders>
              <w:top w:val="single" w:sz="4" w:space="0" w:color="A39892"/>
              <w:left w:val="single" w:sz="4" w:space="0" w:color="A39892"/>
              <w:bottom w:val="single" w:sz="4" w:space="0" w:color="A39892"/>
              <w:right w:val="single" w:sz="4" w:space="0" w:color="A39892"/>
            </w:tcBorders>
            <w:shd w:val="clear" w:color="auto" w:fill="F8ECEC"/>
          </w:tcPr>
          <w:p w:rsidR="003C7E09" w:rsidRPr="00B0434A" w:rsidRDefault="003C7E09" w:rsidP="00A42141">
            <w:pPr>
              <w:pStyle w:val="TableText"/>
            </w:pPr>
            <w:r>
              <w:t>216</w:t>
            </w:r>
          </w:p>
        </w:tc>
        <w:tc>
          <w:tcPr>
            <w:tcW w:w="841" w:type="dxa"/>
            <w:tcBorders>
              <w:top w:val="single" w:sz="4" w:space="0" w:color="A39892"/>
              <w:left w:val="single" w:sz="4" w:space="0" w:color="A39892"/>
              <w:bottom w:val="single" w:sz="4" w:space="0" w:color="A39892"/>
              <w:right w:val="single" w:sz="4" w:space="0" w:color="A39892"/>
            </w:tcBorders>
            <w:shd w:val="clear" w:color="auto" w:fill="F8ECEC"/>
          </w:tcPr>
          <w:p w:rsidR="003C7E09" w:rsidRPr="00B0434A" w:rsidRDefault="003C7E09" w:rsidP="00A42141">
            <w:pPr>
              <w:pStyle w:val="TableText"/>
            </w:pPr>
            <w:r>
              <w:t>240.2</w:t>
            </w:r>
          </w:p>
        </w:tc>
        <w:tc>
          <w:tcPr>
            <w:tcW w:w="840" w:type="dxa"/>
            <w:tcBorders>
              <w:top w:val="single" w:sz="4" w:space="0" w:color="A39892"/>
              <w:left w:val="single" w:sz="4" w:space="0" w:color="A39892"/>
              <w:bottom w:val="single" w:sz="4" w:space="0" w:color="A39892"/>
              <w:right w:val="single" w:sz="4" w:space="0" w:color="A39892"/>
            </w:tcBorders>
            <w:shd w:val="clear" w:color="auto" w:fill="F8ECEC"/>
          </w:tcPr>
          <w:p w:rsidR="003C7E09" w:rsidRPr="00B0434A" w:rsidRDefault="003C7E09" w:rsidP="00A42141">
            <w:pPr>
              <w:pStyle w:val="TableText"/>
            </w:pPr>
            <w:r>
              <w:t>195</w:t>
            </w:r>
          </w:p>
        </w:tc>
        <w:tc>
          <w:tcPr>
            <w:tcW w:w="841" w:type="dxa"/>
            <w:tcBorders>
              <w:top w:val="single" w:sz="4" w:space="0" w:color="A39892"/>
              <w:left w:val="single" w:sz="4" w:space="0" w:color="A39892"/>
              <w:bottom w:val="single" w:sz="4" w:space="0" w:color="A39892"/>
              <w:right w:val="single" w:sz="4" w:space="0" w:color="A39892"/>
            </w:tcBorders>
            <w:shd w:val="clear" w:color="auto" w:fill="F8ECEC"/>
          </w:tcPr>
          <w:p w:rsidR="003C7E09" w:rsidRPr="00B0434A" w:rsidRDefault="003C7E09" w:rsidP="00A42141">
            <w:pPr>
              <w:pStyle w:val="TableText"/>
            </w:pPr>
            <w:r>
              <w:t>298.7</w:t>
            </w:r>
          </w:p>
        </w:tc>
      </w:tr>
      <w:tr w:rsidR="003C7E09" w:rsidRPr="00797E5C" w:rsidTr="00EB20B1">
        <w:trPr>
          <w:cantSplit/>
        </w:trPr>
        <w:tc>
          <w:tcPr>
            <w:tcW w:w="1915" w:type="dxa"/>
            <w:vMerge/>
            <w:tcBorders>
              <w:left w:val="single" w:sz="4" w:space="0" w:color="A39892"/>
              <w:bottom w:val="single" w:sz="4" w:space="0" w:color="A39892"/>
              <w:right w:val="single" w:sz="4" w:space="0" w:color="A39892"/>
            </w:tcBorders>
            <w:shd w:val="clear" w:color="auto" w:fill="F8ECEC"/>
          </w:tcPr>
          <w:p w:rsidR="003C7E09" w:rsidRPr="003C7E09" w:rsidRDefault="003C7E09" w:rsidP="003C7E09">
            <w:pPr>
              <w:pStyle w:val="TableText"/>
            </w:pPr>
          </w:p>
        </w:tc>
        <w:tc>
          <w:tcPr>
            <w:tcW w:w="990" w:type="dxa"/>
            <w:tcBorders>
              <w:top w:val="single" w:sz="4" w:space="0" w:color="A39892"/>
              <w:left w:val="single" w:sz="4" w:space="0" w:color="A39892"/>
              <w:bottom w:val="single" w:sz="4" w:space="0" w:color="A39892"/>
              <w:right w:val="single" w:sz="4" w:space="0" w:color="A39892"/>
            </w:tcBorders>
            <w:shd w:val="clear" w:color="auto" w:fill="F8ECEC"/>
          </w:tcPr>
          <w:p w:rsidR="003C7E09" w:rsidRPr="00797E5C" w:rsidRDefault="003C7E09" w:rsidP="00A42141">
            <w:pPr>
              <w:pStyle w:val="TableText"/>
            </w:pPr>
            <w:r w:rsidRPr="00797E5C">
              <w:t>2016–17</w:t>
            </w:r>
          </w:p>
        </w:tc>
        <w:tc>
          <w:tcPr>
            <w:tcW w:w="840" w:type="dxa"/>
            <w:tcBorders>
              <w:top w:val="single" w:sz="4" w:space="0" w:color="A39892"/>
              <w:left w:val="single" w:sz="4" w:space="0" w:color="A39892"/>
              <w:bottom w:val="single" w:sz="4" w:space="0" w:color="A39892"/>
              <w:right w:val="single" w:sz="4" w:space="0" w:color="A39892"/>
            </w:tcBorders>
            <w:shd w:val="clear" w:color="auto" w:fill="F8ECEC"/>
          </w:tcPr>
          <w:p w:rsidR="003C7E09" w:rsidRPr="00B0434A" w:rsidRDefault="003C7E09" w:rsidP="00A42141">
            <w:pPr>
              <w:pStyle w:val="TableText"/>
            </w:pPr>
            <w:r>
              <w:t>391.5</w:t>
            </w:r>
          </w:p>
        </w:tc>
        <w:tc>
          <w:tcPr>
            <w:tcW w:w="841" w:type="dxa"/>
            <w:tcBorders>
              <w:top w:val="single" w:sz="4" w:space="0" w:color="A39892"/>
              <w:left w:val="single" w:sz="4" w:space="0" w:color="A39892"/>
              <w:bottom w:val="single" w:sz="4" w:space="0" w:color="A39892"/>
              <w:right w:val="single" w:sz="4" w:space="0" w:color="A39892"/>
            </w:tcBorders>
            <w:shd w:val="clear" w:color="auto" w:fill="F8ECEC"/>
          </w:tcPr>
          <w:p w:rsidR="003C7E09" w:rsidRPr="00B0434A" w:rsidRDefault="003C7E09" w:rsidP="00A42141">
            <w:pPr>
              <w:pStyle w:val="TableText"/>
            </w:pPr>
            <w:r>
              <w:t>372.3</w:t>
            </w:r>
          </w:p>
        </w:tc>
        <w:tc>
          <w:tcPr>
            <w:tcW w:w="840" w:type="dxa"/>
            <w:tcBorders>
              <w:top w:val="single" w:sz="4" w:space="0" w:color="A39892"/>
              <w:left w:val="single" w:sz="4" w:space="0" w:color="A39892"/>
              <w:bottom w:val="single" w:sz="4" w:space="0" w:color="A39892"/>
              <w:right w:val="single" w:sz="4" w:space="0" w:color="A39892"/>
            </w:tcBorders>
            <w:shd w:val="clear" w:color="auto" w:fill="F8ECEC"/>
          </w:tcPr>
          <w:p w:rsidR="003C7E09" w:rsidRPr="00B0434A" w:rsidRDefault="003C7E09" w:rsidP="00A42141">
            <w:pPr>
              <w:pStyle w:val="TableText"/>
            </w:pPr>
            <w:r>
              <w:t>207.7</w:t>
            </w:r>
          </w:p>
        </w:tc>
        <w:tc>
          <w:tcPr>
            <w:tcW w:w="841" w:type="dxa"/>
            <w:tcBorders>
              <w:top w:val="single" w:sz="4" w:space="0" w:color="A39892"/>
              <w:left w:val="single" w:sz="4" w:space="0" w:color="A39892"/>
              <w:bottom w:val="single" w:sz="4" w:space="0" w:color="A39892"/>
              <w:right w:val="single" w:sz="4" w:space="0" w:color="A39892"/>
            </w:tcBorders>
            <w:shd w:val="clear" w:color="auto" w:fill="F8ECEC"/>
          </w:tcPr>
          <w:p w:rsidR="003C7E09" w:rsidRPr="00B0434A" w:rsidRDefault="003C7E09" w:rsidP="00A42141">
            <w:pPr>
              <w:pStyle w:val="TableText"/>
            </w:pPr>
            <w:r>
              <w:t>262.7</w:t>
            </w:r>
          </w:p>
        </w:tc>
        <w:tc>
          <w:tcPr>
            <w:tcW w:w="840" w:type="dxa"/>
            <w:tcBorders>
              <w:top w:val="single" w:sz="4" w:space="0" w:color="A39892"/>
              <w:left w:val="single" w:sz="4" w:space="0" w:color="A39892"/>
              <w:bottom w:val="single" w:sz="4" w:space="0" w:color="A39892"/>
              <w:right w:val="single" w:sz="4" w:space="0" w:color="A39892"/>
            </w:tcBorders>
            <w:shd w:val="clear" w:color="auto" w:fill="F8ECEC"/>
          </w:tcPr>
          <w:p w:rsidR="003C7E09" w:rsidRPr="00B0434A" w:rsidRDefault="003C7E09" w:rsidP="00A42141">
            <w:pPr>
              <w:pStyle w:val="TableText"/>
            </w:pPr>
            <w:r>
              <w:t>297.7</w:t>
            </w:r>
          </w:p>
        </w:tc>
        <w:tc>
          <w:tcPr>
            <w:tcW w:w="841" w:type="dxa"/>
            <w:tcBorders>
              <w:top w:val="single" w:sz="4" w:space="0" w:color="A39892"/>
              <w:left w:val="single" w:sz="4" w:space="0" w:color="A39892"/>
              <w:bottom w:val="single" w:sz="4" w:space="0" w:color="A39892"/>
              <w:right w:val="single" w:sz="4" w:space="0" w:color="A39892"/>
            </w:tcBorders>
            <w:shd w:val="clear" w:color="auto" w:fill="F8ECEC"/>
          </w:tcPr>
          <w:p w:rsidR="003C7E09" w:rsidRPr="00B0434A" w:rsidRDefault="003C7E09" w:rsidP="00A42141">
            <w:pPr>
              <w:pStyle w:val="TableText"/>
            </w:pPr>
            <w:r>
              <w:t>299</w:t>
            </w:r>
          </w:p>
        </w:tc>
      </w:tr>
      <w:tr w:rsidR="003C7E09" w:rsidRPr="00797E5C" w:rsidTr="00A42141">
        <w:trPr>
          <w:cantSplit/>
        </w:trPr>
        <w:tc>
          <w:tcPr>
            <w:tcW w:w="1915" w:type="dxa"/>
            <w:vMerge w:val="restart"/>
            <w:tcBorders>
              <w:top w:val="single" w:sz="4" w:space="0" w:color="A39892"/>
              <w:left w:val="single" w:sz="4" w:space="0" w:color="A39892"/>
              <w:right w:val="single" w:sz="4" w:space="0" w:color="A39892"/>
            </w:tcBorders>
            <w:shd w:val="clear" w:color="auto" w:fill="auto"/>
          </w:tcPr>
          <w:p w:rsidR="003C7E09" w:rsidRPr="003C7E09" w:rsidRDefault="003C7E09" w:rsidP="003C7E09">
            <w:pPr>
              <w:pStyle w:val="TableText"/>
            </w:pPr>
            <w:r w:rsidRPr="003C7E09">
              <w:t>COR receipt to hearing</w:t>
            </w:r>
          </w:p>
        </w:tc>
        <w:tc>
          <w:tcPr>
            <w:tcW w:w="990" w:type="dxa"/>
            <w:tcBorders>
              <w:top w:val="single" w:sz="4" w:space="0" w:color="A39892"/>
              <w:left w:val="single" w:sz="4" w:space="0" w:color="A39892"/>
              <w:bottom w:val="single" w:sz="4" w:space="0" w:color="A39892"/>
              <w:right w:val="single" w:sz="4" w:space="0" w:color="A39892"/>
            </w:tcBorders>
            <w:shd w:val="clear" w:color="auto" w:fill="auto"/>
          </w:tcPr>
          <w:p w:rsidR="003C7E09" w:rsidRPr="003C7E09" w:rsidRDefault="003C7E09" w:rsidP="00A42141">
            <w:pPr>
              <w:pStyle w:val="TableText"/>
            </w:pPr>
            <w:r w:rsidRPr="00797E5C">
              <w:t>2017–18</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C7E09" w:rsidRPr="00B0434A" w:rsidRDefault="003C7E09" w:rsidP="00A42141">
            <w:pPr>
              <w:pStyle w:val="TableText"/>
            </w:pPr>
            <w:r>
              <w:t>94.4</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C7E09" w:rsidRPr="00B0434A" w:rsidRDefault="003C7E09" w:rsidP="00A42141">
            <w:pPr>
              <w:pStyle w:val="TableText"/>
            </w:pPr>
            <w:r>
              <w:t>97.7</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C7E09" w:rsidRPr="00B0434A" w:rsidRDefault="003C7E09" w:rsidP="00A42141">
            <w:pPr>
              <w:pStyle w:val="TableText"/>
            </w:pPr>
            <w:r>
              <w:t>109.3</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C7E09" w:rsidRPr="00B0434A" w:rsidRDefault="003C7E09" w:rsidP="00A42141">
            <w:pPr>
              <w:pStyle w:val="TableText"/>
            </w:pPr>
            <w:r>
              <w:t>108.1</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C7E09" w:rsidRPr="00B0434A" w:rsidRDefault="003C7E09" w:rsidP="00A42141">
            <w:pPr>
              <w:pStyle w:val="TableText"/>
            </w:pPr>
            <w:r>
              <w:t>113.8</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C7E09" w:rsidRPr="00B0434A" w:rsidRDefault="003C7E09" w:rsidP="00A42141">
            <w:pPr>
              <w:pStyle w:val="TableText"/>
            </w:pPr>
            <w:r>
              <w:t>104.1</w:t>
            </w:r>
          </w:p>
        </w:tc>
      </w:tr>
      <w:tr w:rsidR="003C7E09" w:rsidRPr="00797E5C" w:rsidTr="00A42141">
        <w:trPr>
          <w:cantSplit/>
        </w:trPr>
        <w:tc>
          <w:tcPr>
            <w:tcW w:w="1915" w:type="dxa"/>
            <w:vMerge/>
            <w:tcBorders>
              <w:left w:val="single" w:sz="4" w:space="0" w:color="A39892"/>
              <w:bottom w:val="single" w:sz="4" w:space="0" w:color="A39892"/>
              <w:right w:val="single" w:sz="4" w:space="0" w:color="A39892"/>
            </w:tcBorders>
            <w:shd w:val="clear" w:color="auto" w:fill="auto"/>
          </w:tcPr>
          <w:p w:rsidR="003C7E09" w:rsidRPr="003C7E09" w:rsidRDefault="003C7E09" w:rsidP="003C7E09">
            <w:pPr>
              <w:pStyle w:val="TableText"/>
            </w:pPr>
          </w:p>
        </w:tc>
        <w:tc>
          <w:tcPr>
            <w:tcW w:w="990" w:type="dxa"/>
            <w:tcBorders>
              <w:top w:val="single" w:sz="4" w:space="0" w:color="A39892"/>
              <w:left w:val="single" w:sz="4" w:space="0" w:color="A39892"/>
              <w:bottom w:val="single" w:sz="4" w:space="0" w:color="A39892"/>
              <w:right w:val="single" w:sz="4" w:space="0" w:color="A39892"/>
            </w:tcBorders>
            <w:shd w:val="clear" w:color="auto" w:fill="auto"/>
          </w:tcPr>
          <w:p w:rsidR="003C7E09" w:rsidRPr="00797E5C" w:rsidRDefault="003C7E09" w:rsidP="00A42141">
            <w:pPr>
              <w:pStyle w:val="TableText"/>
            </w:pPr>
            <w:r w:rsidRPr="00797E5C">
              <w:t>2016–17</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C7E09" w:rsidRPr="00B0434A" w:rsidRDefault="003C7E09" w:rsidP="00A42141">
            <w:pPr>
              <w:pStyle w:val="TableText"/>
            </w:pPr>
            <w:r>
              <w:t>115.7</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C7E09" w:rsidRPr="00B0434A" w:rsidRDefault="003C7E09" w:rsidP="00A42141">
            <w:pPr>
              <w:pStyle w:val="TableText"/>
            </w:pPr>
            <w:r>
              <w:t>104.6</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C7E09" w:rsidRPr="00B0434A" w:rsidRDefault="003C7E09" w:rsidP="00A42141">
            <w:pPr>
              <w:pStyle w:val="TableText"/>
            </w:pPr>
            <w:r>
              <w:t>90.4</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C7E09" w:rsidRPr="00B0434A" w:rsidRDefault="003C7E09" w:rsidP="00A42141">
            <w:pPr>
              <w:pStyle w:val="TableText"/>
            </w:pPr>
            <w:r>
              <w:t>88.3</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C7E09" w:rsidRPr="00B0434A" w:rsidRDefault="003C7E09" w:rsidP="00A42141">
            <w:pPr>
              <w:pStyle w:val="TableText"/>
            </w:pPr>
            <w:r>
              <w:t>87.3</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C7E09" w:rsidRPr="00B0434A" w:rsidRDefault="003C7E09" w:rsidP="00A42141">
            <w:pPr>
              <w:pStyle w:val="TableText"/>
            </w:pPr>
            <w:r>
              <w:t>99.9</w:t>
            </w:r>
          </w:p>
        </w:tc>
      </w:tr>
      <w:tr w:rsidR="003C7E09" w:rsidRPr="00797E5C" w:rsidTr="00A42141">
        <w:trPr>
          <w:cantSplit/>
        </w:trPr>
        <w:tc>
          <w:tcPr>
            <w:tcW w:w="1915" w:type="dxa"/>
            <w:vMerge w:val="restart"/>
            <w:tcBorders>
              <w:top w:val="single" w:sz="4" w:space="0" w:color="A39892"/>
              <w:left w:val="single" w:sz="4" w:space="0" w:color="A39892"/>
              <w:right w:val="single" w:sz="4" w:space="0" w:color="A39892"/>
            </w:tcBorders>
            <w:shd w:val="clear" w:color="auto" w:fill="auto"/>
          </w:tcPr>
          <w:p w:rsidR="003C7E09" w:rsidRPr="003C7E09" w:rsidRDefault="003C7E09" w:rsidP="003C7E09">
            <w:pPr>
              <w:pStyle w:val="TableText"/>
            </w:pPr>
            <w:r w:rsidRPr="003C7E09">
              <w:t>Hearing to publication of decision</w:t>
            </w:r>
          </w:p>
        </w:tc>
        <w:tc>
          <w:tcPr>
            <w:tcW w:w="990" w:type="dxa"/>
            <w:tcBorders>
              <w:top w:val="single" w:sz="4" w:space="0" w:color="A39892"/>
              <w:left w:val="single" w:sz="4" w:space="0" w:color="A39892"/>
              <w:bottom w:val="single" w:sz="4" w:space="0" w:color="A39892"/>
              <w:right w:val="single" w:sz="4" w:space="0" w:color="A39892"/>
            </w:tcBorders>
            <w:shd w:val="clear" w:color="auto" w:fill="auto"/>
          </w:tcPr>
          <w:p w:rsidR="003C7E09" w:rsidRPr="003C7E09" w:rsidRDefault="003C7E09" w:rsidP="00A42141">
            <w:pPr>
              <w:pStyle w:val="TableText"/>
            </w:pPr>
            <w:r w:rsidRPr="00797E5C">
              <w:t>2017–18</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C7E09" w:rsidRPr="00B0434A" w:rsidRDefault="00771F79" w:rsidP="00A42141">
            <w:pPr>
              <w:pStyle w:val="TableText"/>
            </w:pPr>
            <w:r>
              <w:t>23.6</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C7E09" w:rsidRPr="00B0434A" w:rsidRDefault="00771F79" w:rsidP="00A42141">
            <w:pPr>
              <w:pStyle w:val="TableText"/>
            </w:pPr>
            <w:r>
              <w:t>33.4</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C7E09" w:rsidRPr="00B0434A" w:rsidRDefault="00771F79" w:rsidP="00A42141">
            <w:pPr>
              <w:pStyle w:val="TableText"/>
            </w:pPr>
            <w:r>
              <w:t>21.8</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C7E09" w:rsidRPr="00B0434A" w:rsidRDefault="00771F79" w:rsidP="00A42141">
            <w:pPr>
              <w:pStyle w:val="TableText"/>
            </w:pPr>
            <w:r>
              <w:t>27.1</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C7E09" w:rsidRPr="00B0434A" w:rsidRDefault="00771F79" w:rsidP="00A42141">
            <w:pPr>
              <w:pStyle w:val="TableText"/>
            </w:pPr>
            <w:r>
              <w:t>20.2</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C7E09" w:rsidRPr="00B0434A" w:rsidRDefault="00771F79" w:rsidP="00A42141">
            <w:pPr>
              <w:pStyle w:val="TableText"/>
            </w:pPr>
            <w:r>
              <w:t>24.1</w:t>
            </w:r>
          </w:p>
        </w:tc>
      </w:tr>
      <w:tr w:rsidR="003C7E09" w:rsidRPr="00797E5C" w:rsidTr="00EB20B1">
        <w:trPr>
          <w:cantSplit/>
        </w:trPr>
        <w:tc>
          <w:tcPr>
            <w:tcW w:w="1915" w:type="dxa"/>
            <w:vMerge/>
            <w:tcBorders>
              <w:left w:val="single" w:sz="4" w:space="0" w:color="A39892"/>
              <w:bottom w:val="single" w:sz="4" w:space="0" w:color="A39892"/>
              <w:right w:val="single" w:sz="4" w:space="0" w:color="A39892"/>
            </w:tcBorders>
            <w:shd w:val="clear" w:color="auto" w:fill="auto"/>
          </w:tcPr>
          <w:p w:rsidR="003C7E09" w:rsidRPr="003C7E09" w:rsidRDefault="003C7E09" w:rsidP="003C7E09">
            <w:pPr>
              <w:pStyle w:val="TableText"/>
            </w:pPr>
          </w:p>
        </w:tc>
        <w:tc>
          <w:tcPr>
            <w:tcW w:w="990" w:type="dxa"/>
            <w:tcBorders>
              <w:top w:val="single" w:sz="4" w:space="0" w:color="A39892"/>
              <w:left w:val="single" w:sz="4" w:space="0" w:color="A39892"/>
              <w:bottom w:val="single" w:sz="4" w:space="0" w:color="A39892"/>
              <w:right w:val="single" w:sz="4" w:space="0" w:color="A39892"/>
            </w:tcBorders>
            <w:shd w:val="clear" w:color="auto" w:fill="auto"/>
          </w:tcPr>
          <w:p w:rsidR="003C7E09" w:rsidRPr="00797E5C" w:rsidRDefault="003C7E09" w:rsidP="00A42141">
            <w:pPr>
              <w:pStyle w:val="TableText"/>
            </w:pPr>
            <w:r w:rsidRPr="00797E5C">
              <w:t>2016–17</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C7E09" w:rsidRPr="00B0434A" w:rsidRDefault="00771F79" w:rsidP="00A42141">
            <w:pPr>
              <w:pStyle w:val="TableText"/>
            </w:pPr>
            <w:r>
              <w:t>23.4</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C7E09" w:rsidRPr="00B0434A" w:rsidRDefault="00771F79" w:rsidP="00A42141">
            <w:pPr>
              <w:pStyle w:val="TableText"/>
            </w:pPr>
            <w:r>
              <w:t>25.3</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C7E09" w:rsidRPr="00B0434A" w:rsidRDefault="00771F79" w:rsidP="00A42141">
            <w:pPr>
              <w:pStyle w:val="TableText"/>
            </w:pPr>
            <w:r>
              <w:t>29.8</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C7E09" w:rsidRPr="00B0434A" w:rsidRDefault="00771F79" w:rsidP="00A42141">
            <w:pPr>
              <w:pStyle w:val="TableText"/>
            </w:pPr>
            <w:r>
              <w:t>27.1</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C7E09" w:rsidRPr="00B0434A" w:rsidRDefault="00771F79" w:rsidP="00A42141">
            <w:pPr>
              <w:pStyle w:val="TableText"/>
            </w:pPr>
            <w:r>
              <w:t>27.5</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C7E09" w:rsidRPr="00B0434A" w:rsidRDefault="00771F79" w:rsidP="00A42141">
            <w:pPr>
              <w:pStyle w:val="TableText"/>
            </w:pPr>
            <w:r>
              <w:t>26.7</w:t>
            </w:r>
          </w:p>
        </w:tc>
      </w:tr>
      <w:tr w:rsidR="003C7E09" w:rsidRPr="00797E5C" w:rsidTr="00EB20B1">
        <w:trPr>
          <w:cantSplit/>
        </w:trPr>
        <w:tc>
          <w:tcPr>
            <w:tcW w:w="1915" w:type="dxa"/>
            <w:vMerge w:val="restart"/>
            <w:tcBorders>
              <w:top w:val="single" w:sz="4" w:space="0" w:color="A39892"/>
              <w:left w:val="single" w:sz="4" w:space="0" w:color="A39892"/>
              <w:bottom w:val="nil"/>
              <w:right w:val="single" w:sz="4" w:space="0" w:color="A39892"/>
            </w:tcBorders>
            <w:shd w:val="clear" w:color="auto" w:fill="BFBFBF" w:themeFill="background1" w:themeFillShade="BF"/>
          </w:tcPr>
          <w:p w:rsidR="003C7E09" w:rsidRPr="003C7E09" w:rsidRDefault="003C7E09" w:rsidP="003C7E09">
            <w:pPr>
              <w:pStyle w:val="TableText"/>
            </w:pPr>
            <w:r w:rsidRPr="003C7E09">
              <w:t>Lodgement to finalisation</w:t>
            </w:r>
          </w:p>
        </w:tc>
        <w:tc>
          <w:tcPr>
            <w:tcW w:w="990" w:type="dxa"/>
            <w:tcBorders>
              <w:top w:val="single" w:sz="4" w:space="0" w:color="A39892"/>
              <w:left w:val="single" w:sz="4" w:space="0" w:color="A39892"/>
              <w:bottom w:val="single" w:sz="4" w:space="0" w:color="A39892"/>
              <w:right w:val="single" w:sz="4" w:space="0" w:color="A39892"/>
            </w:tcBorders>
            <w:shd w:val="clear" w:color="auto" w:fill="BFBFBF" w:themeFill="background1" w:themeFillShade="BF"/>
          </w:tcPr>
          <w:p w:rsidR="003C7E09" w:rsidRPr="003C7E09" w:rsidRDefault="003C7E09" w:rsidP="00A42141">
            <w:pPr>
              <w:pStyle w:val="TableText"/>
            </w:pPr>
            <w:r w:rsidRPr="00797E5C">
              <w:t>2017–18</w:t>
            </w:r>
          </w:p>
        </w:tc>
        <w:tc>
          <w:tcPr>
            <w:tcW w:w="840" w:type="dxa"/>
            <w:tcBorders>
              <w:top w:val="single" w:sz="4" w:space="0" w:color="A39892"/>
              <w:left w:val="single" w:sz="4" w:space="0" w:color="A39892"/>
              <w:bottom w:val="single" w:sz="4" w:space="0" w:color="A39892"/>
              <w:right w:val="single" w:sz="4" w:space="0" w:color="A39892"/>
            </w:tcBorders>
            <w:shd w:val="clear" w:color="auto" w:fill="BFBFBF" w:themeFill="background1" w:themeFillShade="BF"/>
          </w:tcPr>
          <w:p w:rsidR="003C7E09" w:rsidRPr="00B0434A" w:rsidRDefault="00771F79" w:rsidP="00A42141">
            <w:pPr>
              <w:pStyle w:val="TableText"/>
            </w:pPr>
            <w:r>
              <w:t>351.5</w:t>
            </w:r>
          </w:p>
        </w:tc>
        <w:tc>
          <w:tcPr>
            <w:tcW w:w="841" w:type="dxa"/>
            <w:tcBorders>
              <w:top w:val="single" w:sz="4" w:space="0" w:color="A39892"/>
              <w:left w:val="single" w:sz="4" w:space="0" w:color="A39892"/>
              <w:bottom w:val="single" w:sz="4" w:space="0" w:color="A39892"/>
              <w:right w:val="single" w:sz="4" w:space="0" w:color="A39892"/>
            </w:tcBorders>
            <w:shd w:val="clear" w:color="auto" w:fill="BFBFBF" w:themeFill="background1" w:themeFillShade="BF"/>
          </w:tcPr>
          <w:p w:rsidR="003C7E09" w:rsidRPr="00B0434A" w:rsidRDefault="00771F79" w:rsidP="00A42141">
            <w:pPr>
              <w:pStyle w:val="TableText"/>
            </w:pPr>
            <w:r>
              <w:t>342.3</w:t>
            </w:r>
          </w:p>
        </w:tc>
        <w:tc>
          <w:tcPr>
            <w:tcW w:w="840" w:type="dxa"/>
            <w:tcBorders>
              <w:top w:val="single" w:sz="4" w:space="0" w:color="A39892"/>
              <w:left w:val="single" w:sz="4" w:space="0" w:color="A39892"/>
              <w:bottom w:val="single" w:sz="4" w:space="0" w:color="A39892"/>
              <w:right w:val="single" w:sz="4" w:space="0" w:color="A39892"/>
            </w:tcBorders>
            <w:shd w:val="clear" w:color="auto" w:fill="BFBFBF" w:themeFill="background1" w:themeFillShade="BF"/>
          </w:tcPr>
          <w:p w:rsidR="003C7E09" w:rsidRPr="00B0434A" w:rsidRDefault="00771F79" w:rsidP="00A42141">
            <w:pPr>
              <w:pStyle w:val="TableText"/>
            </w:pPr>
            <w:r>
              <w:t>329.6</w:t>
            </w:r>
          </w:p>
        </w:tc>
        <w:tc>
          <w:tcPr>
            <w:tcW w:w="841" w:type="dxa"/>
            <w:tcBorders>
              <w:top w:val="single" w:sz="4" w:space="0" w:color="A39892"/>
              <w:left w:val="single" w:sz="4" w:space="0" w:color="A39892"/>
              <w:bottom w:val="single" w:sz="4" w:space="0" w:color="A39892"/>
              <w:right w:val="single" w:sz="4" w:space="0" w:color="A39892"/>
            </w:tcBorders>
            <w:shd w:val="clear" w:color="auto" w:fill="BFBFBF" w:themeFill="background1" w:themeFillShade="BF"/>
          </w:tcPr>
          <w:p w:rsidR="003C7E09" w:rsidRPr="00B0434A" w:rsidRDefault="00771F79" w:rsidP="00A42141">
            <w:pPr>
              <w:pStyle w:val="TableText"/>
            </w:pPr>
            <w:r>
              <w:t>336.2</w:t>
            </w:r>
          </w:p>
        </w:tc>
        <w:tc>
          <w:tcPr>
            <w:tcW w:w="840" w:type="dxa"/>
            <w:tcBorders>
              <w:top w:val="single" w:sz="4" w:space="0" w:color="A39892"/>
              <w:left w:val="single" w:sz="4" w:space="0" w:color="A39892"/>
              <w:bottom w:val="single" w:sz="4" w:space="0" w:color="A39892"/>
              <w:right w:val="single" w:sz="4" w:space="0" w:color="A39892"/>
            </w:tcBorders>
            <w:shd w:val="clear" w:color="auto" w:fill="BFBFBF" w:themeFill="background1" w:themeFillShade="BF"/>
          </w:tcPr>
          <w:p w:rsidR="003C7E09" w:rsidRPr="00B0434A" w:rsidRDefault="00771F79" w:rsidP="00A42141">
            <w:pPr>
              <w:pStyle w:val="TableText"/>
            </w:pPr>
            <w:r>
              <w:t>317.4</w:t>
            </w:r>
          </w:p>
        </w:tc>
        <w:tc>
          <w:tcPr>
            <w:tcW w:w="841" w:type="dxa"/>
            <w:tcBorders>
              <w:top w:val="single" w:sz="4" w:space="0" w:color="A39892"/>
              <w:left w:val="single" w:sz="4" w:space="0" w:color="A39892"/>
              <w:bottom w:val="single" w:sz="4" w:space="0" w:color="A39892"/>
              <w:right w:val="single" w:sz="4" w:space="0" w:color="A39892"/>
            </w:tcBorders>
            <w:shd w:val="clear" w:color="auto" w:fill="BFBFBF" w:themeFill="background1" w:themeFillShade="BF"/>
          </w:tcPr>
          <w:p w:rsidR="003C7E09" w:rsidRPr="00B0434A" w:rsidRDefault="00771F79" w:rsidP="00A42141">
            <w:pPr>
              <w:pStyle w:val="TableText"/>
            </w:pPr>
            <w:r>
              <w:t>347.5</w:t>
            </w:r>
          </w:p>
        </w:tc>
      </w:tr>
      <w:tr w:rsidR="003C7E09" w:rsidRPr="00797E5C" w:rsidTr="00EB20B1">
        <w:trPr>
          <w:cantSplit/>
        </w:trPr>
        <w:tc>
          <w:tcPr>
            <w:tcW w:w="1915" w:type="dxa"/>
            <w:vMerge/>
            <w:tcBorders>
              <w:top w:val="nil"/>
              <w:left w:val="single" w:sz="4" w:space="0" w:color="A39892"/>
              <w:bottom w:val="single" w:sz="4" w:space="0" w:color="A39892"/>
              <w:right w:val="single" w:sz="4" w:space="0" w:color="A39892"/>
            </w:tcBorders>
            <w:shd w:val="clear" w:color="auto" w:fill="BFBFBF" w:themeFill="background1" w:themeFillShade="BF"/>
          </w:tcPr>
          <w:p w:rsidR="003C7E09" w:rsidRPr="00797E5C" w:rsidRDefault="003C7E09" w:rsidP="00A42141">
            <w:pPr>
              <w:pStyle w:val="TableText"/>
              <w:spacing w:before="30" w:after="30"/>
              <w:rPr>
                <w:rFonts w:ascii="Times New Roman" w:hAnsi="Times New Roman"/>
                <w:sz w:val="24"/>
                <w:szCs w:val="24"/>
              </w:rPr>
            </w:pPr>
          </w:p>
        </w:tc>
        <w:tc>
          <w:tcPr>
            <w:tcW w:w="990" w:type="dxa"/>
            <w:tcBorders>
              <w:top w:val="single" w:sz="4" w:space="0" w:color="A39892"/>
              <w:left w:val="single" w:sz="4" w:space="0" w:color="A39892"/>
              <w:bottom w:val="single" w:sz="4" w:space="0" w:color="A39892"/>
              <w:right w:val="single" w:sz="4" w:space="0" w:color="A39892"/>
            </w:tcBorders>
            <w:shd w:val="clear" w:color="auto" w:fill="BFBFBF" w:themeFill="background1" w:themeFillShade="BF"/>
          </w:tcPr>
          <w:p w:rsidR="003C7E09" w:rsidRPr="00797E5C" w:rsidRDefault="003C7E09" w:rsidP="00A42141">
            <w:pPr>
              <w:pStyle w:val="TableText"/>
            </w:pPr>
            <w:r w:rsidRPr="00797E5C">
              <w:t>2016–17</w:t>
            </w:r>
          </w:p>
        </w:tc>
        <w:tc>
          <w:tcPr>
            <w:tcW w:w="840" w:type="dxa"/>
            <w:tcBorders>
              <w:top w:val="single" w:sz="4" w:space="0" w:color="A39892"/>
              <w:left w:val="single" w:sz="4" w:space="0" w:color="A39892"/>
              <w:bottom w:val="single" w:sz="4" w:space="0" w:color="A39892"/>
              <w:right w:val="single" w:sz="4" w:space="0" w:color="A39892"/>
            </w:tcBorders>
            <w:shd w:val="clear" w:color="auto" w:fill="BFBFBF" w:themeFill="background1" w:themeFillShade="BF"/>
          </w:tcPr>
          <w:p w:rsidR="003C7E09" w:rsidRPr="00B0434A" w:rsidRDefault="00771F79" w:rsidP="00A42141">
            <w:pPr>
              <w:pStyle w:val="TableText"/>
            </w:pPr>
            <w:r>
              <w:t>362.8</w:t>
            </w:r>
          </w:p>
        </w:tc>
        <w:tc>
          <w:tcPr>
            <w:tcW w:w="841" w:type="dxa"/>
            <w:tcBorders>
              <w:top w:val="single" w:sz="4" w:space="0" w:color="A39892"/>
              <w:left w:val="single" w:sz="4" w:space="0" w:color="A39892"/>
              <w:bottom w:val="single" w:sz="4" w:space="0" w:color="A39892"/>
              <w:right w:val="single" w:sz="4" w:space="0" w:color="A39892"/>
            </w:tcBorders>
            <w:shd w:val="clear" w:color="auto" w:fill="BFBFBF" w:themeFill="background1" w:themeFillShade="BF"/>
          </w:tcPr>
          <w:p w:rsidR="003C7E09" w:rsidRPr="00B0434A" w:rsidRDefault="00771F79" w:rsidP="00A42141">
            <w:pPr>
              <w:pStyle w:val="TableText"/>
            </w:pPr>
            <w:r>
              <w:t>417.1</w:t>
            </w:r>
          </w:p>
        </w:tc>
        <w:tc>
          <w:tcPr>
            <w:tcW w:w="840" w:type="dxa"/>
            <w:tcBorders>
              <w:top w:val="single" w:sz="4" w:space="0" w:color="A39892"/>
              <w:left w:val="single" w:sz="4" w:space="0" w:color="A39892"/>
              <w:bottom w:val="single" w:sz="4" w:space="0" w:color="A39892"/>
              <w:right w:val="single" w:sz="4" w:space="0" w:color="A39892"/>
            </w:tcBorders>
            <w:shd w:val="clear" w:color="auto" w:fill="BFBFBF" w:themeFill="background1" w:themeFillShade="BF"/>
          </w:tcPr>
          <w:p w:rsidR="003C7E09" w:rsidRPr="00B0434A" w:rsidRDefault="00771F79" w:rsidP="00A42141">
            <w:pPr>
              <w:pStyle w:val="TableText"/>
            </w:pPr>
            <w:r>
              <w:t>332.1</w:t>
            </w:r>
          </w:p>
        </w:tc>
        <w:tc>
          <w:tcPr>
            <w:tcW w:w="841" w:type="dxa"/>
            <w:tcBorders>
              <w:top w:val="single" w:sz="4" w:space="0" w:color="A39892"/>
              <w:left w:val="single" w:sz="4" w:space="0" w:color="A39892"/>
              <w:bottom w:val="single" w:sz="4" w:space="0" w:color="A39892"/>
              <w:right w:val="single" w:sz="4" w:space="0" w:color="A39892"/>
            </w:tcBorders>
            <w:shd w:val="clear" w:color="auto" w:fill="BFBFBF" w:themeFill="background1" w:themeFillShade="BF"/>
          </w:tcPr>
          <w:p w:rsidR="003C7E09" w:rsidRPr="00B0434A" w:rsidRDefault="00771F79" w:rsidP="00A42141">
            <w:pPr>
              <w:pStyle w:val="TableText"/>
            </w:pPr>
            <w:r>
              <w:t>435.1</w:t>
            </w:r>
          </w:p>
        </w:tc>
        <w:tc>
          <w:tcPr>
            <w:tcW w:w="840" w:type="dxa"/>
            <w:tcBorders>
              <w:top w:val="single" w:sz="4" w:space="0" w:color="A39892"/>
              <w:left w:val="single" w:sz="4" w:space="0" w:color="A39892"/>
              <w:bottom w:val="single" w:sz="4" w:space="0" w:color="A39892"/>
              <w:right w:val="single" w:sz="4" w:space="0" w:color="A39892"/>
            </w:tcBorders>
            <w:shd w:val="clear" w:color="auto" w:fill="BFBFBF" w:themeFill="background1" w:themeFillShade="BF"/>
          </w:tcPr>
          <w:p w:rsidR="003C7E09" w:rsidRPr="00B0434A" w:rsidRDefault="00771F79" w:rsidP="00A42141">
            <w:pPr>
              <w:pStyle w:val="TableText"/>
            </w:pPr>
            <w:r>
              <w:t>374.1</w:t>
            </w:r>
          </w:p>
        </w:tc>
        <w:tc>
          <w:tcPr>
            <w:tcW w:w="841" w:type="dxa"/>
            <w:tcBorders>
              <w:top w:val="single" w:sz="4" w:space="0" w:color="A39892"/>
              <w:left w:val="single" w:sz="4" w:space="0" w:color="A39892"/>
              <w:bottom w:val="single" w:sz="4" w:space="0" w:color="A39892"/>
              <w:right w:val="single" w:sz="4" w:space="0" w:color="A39892"/>
            </w:tcBorders>
            <w:shd w:val="clear" w:color="auto" w:fill="BFBFBF" w:themeFill="background1" w:themeFillShade="BF"/>
          </w:tcPr>
          <w:p w:rsidR="003C7E09" w:rsidRPr="00B0434A" w:rsidRDefault="00771F79" w:rsidP="00A42141">
            <w:pPr>
              <w:pStyle w:val="TableText"/>
            </w:pPr>
            <w:r>
              <w:t>367.5</w:t>
            </w:r>
          </w:p>
        </w:tc>
      </w:tr>
    </w:tbl>
    <w:p w:rsidR="00771F79" w:rsidRDefault="00771F79"/>
    <w:tbl>
      <w:tblPr>
        <w:tblW w:w="5000" w:type="pct"/>
        <w:tblBorders>
          <w:top w:val="single" w:sz="4" w:space="0" w:color="A39892"/>
          <w:left w:val="single" w:sz="4" w:space="0" w:color="A39892"/>
          <w:bottom w:val="single" w:sz="4" w:space="0" w:color="A39892"/>
          <w:right w:val="single" w:sz="4" w:space="0" w:color="A39892"/>
          <w:insideH w:val="single" w:sz="4" w:space="0" w:color="A39892"/>
          <w:insideV w:val="single" w:sz="4" w:space="0" w:color="A39892"/>
        </w:tblBorders>
        <w:tblLayout w:type="fixed"/>
        <w:tblCellMar>
          <w:left w:w="115" w:type="dxa"/>
          <w:right w:w="115" w:type="dxa"/>
        </w:tblCellMar>
        <w:tblLook w:val="0000" w:firstRow="0" w:lastRow="0" w:firstColumn="0" w:lastColumn="0" w:noHBand="0" w:noVBand="0"/>
      </w:tblPr>
      <w:tblGrid>
        <w:gridCol w:w="7948"/>
      </w:tblGrid>
      <w:tr w:rsidR="00771F79" w:rsidRPr="00797E5C" w:rsidTr="00EB20B1">
        <w:trPr>
          <w:cantSplit/>
        </w:trPr>
        <w:tc>
          <w:tcPr>
            <w:tcW w:w="1915" w:type="dxa"/>
            <w:tcBorders>
              <w:left w:val="single" w:sz="4" w:space="0" w:color="A39892"/>
              <w:right w:val="single" w:sz="4" w:space="0" w:color="A39892"/>
            </w:tcBorders>
            <w:shd w:val="clear" w:color="auto" w:fill="F2DBDB" w:themeFill="accent2" w:themeFillTint="33"/>
          </w:tcPr>
          <w:p w:rsidR="00771F79" w:rsidRPr="00797E5C" w:rsidRDefault="00771F79" w:rsidP="00771F79">
            <w:pPr>
              <w:pStyle w:val="TableText"/>
            </w:pPr>
            <w:r>
              <w:t>Pink indicates stages primarily within the control of DVA.</w:t>
            </w:r>
          </w:p>
        </w:tc>
      </w:tr>
      <w:tr w:rsidR="00771F79" w:rsidRPr="00797E5C" w:rsidTr="00EB20B1">
        <w:trPr>
          <w:cantSplit/>
        </w:trPr>
        <w:tc>
          <w:tcPr>
            <w:tcW w:w="1915" w:type="dxa"/>
            <w:tcBorders>
              <w:left w:val="single" w:sz="4" w:space="0" w:color="A39892"/>
              <w:bottom w:val="single" w:sz="4" w:space="0" w:color="A39892"/>
              <w:right w:val="single" w:sz="4" w:space="0" w:color="A39892"/>
            </w:tcBorders>
            <w:shd w:val="clear" w:color="auto" w:fill="auto"/>
          </w:tcPr>
          <w:p w:rsidR="00771F79" w:rsidRPr="00797E5C" w:rsidRDefault="00771F79" w:rsidP="00771F79">
            <w:pPr>
              <w:pStyle w:val="TableText"/>
            </w:pPr>
            <w:r>
              <w:t>White indicates stages primarily within the control of the VRB.</w:t>
            </w:r>
          </w:p>
        </w:tc>
      </w:tr>
      <w:tr w:rsidR="00771F79" w:rsidRPr="00797E5C" w:rsidTr="00EB20B1">
        <w:trPr>
          <w:cantSplit/>
        </w:trPr>
        <w:tc>
          <w:tcPr>
            <w:tcW w:w="1915" w:type="dxa"/>
            <w:tcBorders>
              <w:left w:val="single" w:sz="4" w:space="0" w:color="A39892"/>
              <w:bottom w:val="single" w:sz="4" w:space="0" w:color="A39892"/>
              <w:right w:val="single" w:sz="4" w:space="0" w:color="A39892"/>
            </w:tcBorders>
            <w:shd w:val="clear" w:color="auto" w:fill="F8ECEC"/>
          </w:tcPr>
          <w:p w:rsidR="00771F79" w:rsidRPr="00797E5C" w:rsidRDefault="00771F79" w:rsidP="00771F79">
            <w:pPr>
              <w:pStyle w:val="TableText"/>
            </w:pPr>
            <w:r>
              <w:t>Beige indicates stages primarily within the control of the applicant/representative.</w:t>
            </w:r>
          </w:p>
        </w:tc>
      </w:tr>
      <w:tr w:rsidR="00771F79" w:rsidRPr="00797E5C" w:rsidTr="00EB20B1">
        <w:trPr>
          <w:cantSplit/>
        </w:trPr>
        <w:tc>
          <w:tcPr>
            <w:tcW w:w="1915" w:type="dxa"/>
            <w:tcBorders>
              <w:left w:val="single" w:sz="4" w:space="0" w:color="A39892"/>
              <w:bottom w:val="single" w:sz="4" w:space="0" w:color="A39892"/>
              <w:right w:val="single" w:sz="4" w:space="0" w:color="A39892"/>
            </w:tcBorders>
            <w:shd w:val="clear" w:color="auto" w:fill="BFBFBF" w:themeFill="background1" w:themeFillShade="BF"/>
          </w:tcPr>
          <w:p w:rsidR="00771F79" w:rsidRPr="00771F79" w:rsidRDefault="00771F79" w:rsidP="00771F79">
            <w:pPr>
              <w:pStyle w:val="TableText"/>
            </w:pPr>
            <w:r>
              <w:t>Grey indicates a mixture of stages, within the control of DVA, the applicant and the VRB.</w:t>
            </w:r>
          </w:p>
        </w:tc>
      </w:tr>
    </w:tbl>
    <w:p w:rsidR="00942D8F" w:rsidRDefault="00942D8F" w:rsidP="00942D8F"/>
    <w:p w:rsidR="00EB20B1" w:rsidRDefault="00EB20B1" w:rsidP="00EB20B1">
      <w:pPr>
        <w:pStyle w:val="Heading4"/>
      </w:pPr>
      <w:r>
        <w:t>Processing times</w:t>
      </w:r>
      <w:r w:rsidR="001D1DCA">
        <w:fldChar w:fldCharType="begin"/>
      </w:r>
      <w:r w:rsidR="001D1DCA">
        <w:instrText xml:space="preserve"> XE "</w:instrText>
      </w:r>
      <w:r w:rsidR="001D1DCA" w:rsidRPr="002D7689">
        <w:instrText>processing time</w:instrText>
      </w:r>
      <w:r w:rsidR="001D1DCA">
        <w:instrText xml:space="preserve">" </w:instrText>
      </w:r>
      <w:r w:rsidR="001D1DCA">
        <w:fldChar w:fldCharType="end"/>
      </w:r>
      <w:r>
        <w:t xml:space="preserve"> for ADR program cases</w:t>
      </w:r>
    </w:p>
    <w:p w:rsidR="00EB20B1" w:rsidRDefault="00EB20B1" w:rsidP="00EB20B1">
      <w:r>
        <w:t>The VRB aims to finalise the majority of applications within 12 months of lodgement. In relation to those cases finalised by an ADR process in 2017–18, the VRB exceeded this target with 1087 applications being finalised on average in 186.7 days.</w:t>
      </w:r>
    </w:p>
    <w:bookmarkEnd w:id="20"/>
    <w:p w:rsidR="00FC6F4E" w:rsidRDefault="00FC6F4E" w:rsidP="00D47479">
      <w:pPr>
        <w:pStyle w:val="Heading3"/>
        <w:pageBreakBefore/>
      </w:pPr>
      <w:r>
        <w:lastRenderedPageBreak/>
        <w:t>OUTCOME 4:</w:t>
      </w:r>
      <w:r>
        <w:br/>
        <w:t>UNDERTAKE REVIEWS IN A MANNER THAT IS EFFICIENT IN RESOURCE ALLOCATION</w:t>
      </w:r>
    </w:p>
    <w:p w:rsidR="00FC6F4E" w:rsidRDefault="00FC6F4E" w:rsidP="00FC6F4E">
      <w:pPr>
        <w:pStyle w:val="Heading4"/>
      </w:pPr>
      <w:bookmarkStart w:id="21" w:name="TOC_dismissed"/>
      <w:r>
        <w:t>Directions Hearings</w:t>
      </w:r>
      <w:r w:rsidR="00741668">
        <w:fldChar w:fldCharType="begin"/>
      </w:r>
      <w:r w:rsidR="00741668">
        <w:instrText xml:space="preserve"> XE "</w:instrText>
      </w:r>
      <w:r w:rsidR="00741668" w:rsidRPr="003924C2">
        <w:instrText>Directions Hearings</w:instrText>
      </w:r>
      <w:r w:rsidR="00741668">
        <w:instrText xml:space="preserve">" </w:instrText>
      </w:r>
      <w:r w:rsidR="00741668">
        <w:fldChar w:fldCharType="end"/>
      </w:r>
      <w:r>
        <w:t>/Dismissals</w:t>
      </w:r>
      <w:r w:rsidR="00EC32B8">
        <w:fldChar w:fldCharType="begin"/>
      </w:r>
      <w:r w:rsidR="00EC32B8">
        <w:instrText xml:space="preserve"> XE "</w:instrText>
      </w:r>
      <w:r w:rsidR="00EC32B8" w:rsidRPr="00E27BBA">
        <w:instrText>applications:dismissed</w:instrText>
      </w:r>
      <w:r w:rsidR="00EC32B8">
        <w:instrText xml:space="preserve">" \r "TOC_dismissed" </w:instrText>
      </w:r>
      <w:r w:rsidR="00EC32B8">
        <w:fldChar w:fldCharType="end"/>
      </w:r>
    </w:p>
    <w:p w:rsidR="00FC6F4E" w:rsidRDefault="00FC6F4E" w:rsidP="00FC6F4E">
      <w:r>
        <w:t>Following the 2014 legislative amendments, the VRB was provided with a full suite of dismissal powers which were necessary to work alongside the ADR program. Previously, the VRB could only dismiss an application once it had reached 2 years of age.</w:t>
      </w:r>
    </w:p>
    <w:p w:rsidR="00FC6F4E" w:rsidRDefault="00FC6F4E" w:rsidP="00FC6F4E">
      <w:r>
        <w:t>During 2017–18 the VRB continued conducting directions hearings to deal with procedural matters in relation to an application and also as a way to progress a matter where a party has failed to comply with legislative or Board requirements. They are conducted by either the Principal Member</w:t>
      </w:r>
      <w:r w:rsidR="001D1DCA">
        <w:fldChar w:fldCharType="begin"/>
      </w:r>
      <w:r w:rsidR="001D1DCA">
        <w:instrText xml:space="preserve"> XE "</w:instrText>
      </w:r>
      <w:r w:rsidR="001D1DCA" w:rsidRPr="002D7689">
        <w:instrText>Principal Member</w:instrText>
      </w:r>
      <w:r w:rsidR="001D1DCA">
        <w:instrText xml:space="preserve">" </w:instrText>
      </w:r>
      <w:r w:rsidR="001D1DCA">
        <w:fldChar w:fldCharType="end"/>
      </w:r>
      <w:r>
        <w:t xml:space="preserve"> or a Senior Member of the Board. 211 applications were listed for directions hearings in 2017–18. Of these 56 applications were ultimately dismissed. In 2016–17 there were 280 applications listed for directions hearings. 52 of these applications were in the end dismissed.</w:t>
      </w:r>
    </w:p>
    <w:p w:rsidR="00FC6F4E" w:rsidRDefault="00FC6F4E" w:rsidP="00FC6F4E">
      <w:pPr>
        <w:pStyle w:val="Heading4"/>
      </w:pPr>
      <w:r>
        <w:t>Listings</w:t>
      </w:r>
    </w:p>
    <w:p w:rsidR="00FC6F4E" w:rsidRDefault="00FC6F4E" w:rsidP="00FC6F4E">
      <w:r>
        <w:t>During the year, the VRB aimed to list between 12-15 hearing times per panel per week, depending on complexity - assuming five sitting days in a normal week - and those applications thought to be particularly complex or lengthy were allocated two or more hearing times. A hearing time lasts for one hour. If an applicant had more than one application they were heard, where possible, at the same time.</w:t>
      </w:r>
    </w:p>
    <w:p w:rsidR="00FC6F4E" w:rsidRDefault="00FC6F4E" w:rsidP="00FC6F4E">
      <w:pPr>
        <w:pStyle w:val="Heading4"/>
      </w:pPr>
      <w:r>
        <w:t>Postponements/Adjournments after a case is listed for hearing</w:t>
      </w:r>
    </w:p>
    <w:p w:rsidR="00FC6F4E" w:rsidRDefault="00FC6F4E" w:rsidP="00FC6F4E">
      <w:r>
        <w:t>A vital factor in the capacity of the VRB to finalise applications is the effectiveness of its listing operations. If the VRB lists applications for hearing at times that subsequently become unsuitable to applicants or their representatives</w:t>
      </w:r>
      <w:r w:rsidR="0005789C">
        <w:fldChar w:fldCharType="begin"/>
      </w:r>
      <w:r w:rsidR="0005789C">
        <w:instrText xml:space="preserve"> XE "</w:instrText>
      </w:r>
      <w:r w:rsidR="0005789C" w:rsidRPr="002D7689">
        <w:instrText>representatives</w:instrText>
      </w:r>
      <w:r w:rsidR="0005789C">
        <w:instrText xml:space="preserve">" </w:instrText>
      </w:r>
      <w:r w:rsidR="0005789C">
        <w:fldChar w:fldCharType="end"/>
      </w:r>
      <w:r>
        <w:t xml:space="preserve"> and the VRB does not receive timely advice of that unsuitability, the allocated hearing time may be wasted. In an effort to steadily improve the scheduling of cases, the revised General Practice Direction, which was published in September 2016, sets out the policy and procedures</w:t>
      </w:r>
      <w:r w:rsidR="001D1DCA">
        <w:fldChar w:fldCharType="begin"/>
      </w:r>
      <w:r w:rsidR="001D1DCA">
        <w:instrText xml:space="preserve"> XE "</w:instrText>
      </w:r>
      <w:r w:rsidR="001D1DCA" w:rsidRPr="002D7689">
        <w:instrText>procedures</w:instrText>
      </w:r>
      <w:r w:rsidR="001D1DCA">
        <w:instrText xml:space="preserve">" </w:instrText>
      </w:r>
      <w:r w:rsidR="001D1DCA">
        <w:fldChar w:fldCharType="end"/>
      </w:r>
      <w:r>
        <w:t xml:space="preserve"> of the Board relating to applications for adjournments of hearings, after a case is listed for hearing. The Board also published an adjournment practice direction in late 2011. Obviously there will always be some postponements: a sudden illness or other mishap cannot be avoided. However, it must be the aim of the VRB and those who regularly deal with it to ensure that the adverse effect of postponements is offset wherever possible by the substitution of another application. To this end, the procedures of the VRB provide that requests for postponement on the day of a scheduled hearing may not be granted. Whether to grant the request is at the discretion of the Presiding Member of the VRB panel for consideration and the reason for it would be carefully considered.</w:t>
      </w:r>
    </w:p>
    <w:p w:rsidR="00FC6F4E" w:rsidRDefault="00FC6F4E" w:rsidP="00FC6F4E">
      <w:r>
        <w:t>During 2017–18, 24 applications listed for hearing were postponed prior to the commencement of the hearing. Substitute applications were found for 33.3 per cent of the postponements. While the postponement rate was low, it still resulted in about 16 hearing times not being able to be used, or the equivalent of a week of hearings for a panel.</w:t>
      </w:r>
    </w:p>
    <w:p w:rsidR="00FC6F4E" w:rsidRDefault="00FC6F4E" w:rsidP="00FC6F4E">
      <w:r>
        <w:t>The VRB continues to seek the cooperation of all parties in ensuring the effectiveness of its listing procedures – the lower the effective postponement rate, the higher the finalisation rate and, obviously, the shorter the waiting time for other applications in the system. In particular, advocacy organisations should realise that, where they have signed a Certificate of Readiness</w:t>
      </w:r>
      <w:r w:rsidR="008D2F5D">
        <w:fldChar w:fldCharType="begin"/>
      </w:r>
      <w:r w:rsidR="008D2F5D">
        <w:instrText xml:space="preserve"> XE "</w:instrText>
      </w:r>
      <w:r w:rsidR="008D2F5D" w:rsidRPr="003924C2">
        <w:instrText>Certificate of Readiness</w:instrText>
      </w:r>
      <w:r w:rsidR="008D2F5D">
        <w:instrText xml:space="preserve">" </w:instrText>
      </w:r>
      <w:r w:rsidR="008D2F5D">
        <w:fldChar w:fldCharType="end"/>
      </w:r>
      <w:r>
        <w:t xml:space="preserve"> for Hearing or have certified that a case is ready for hearing as a result of letters sent pursuant to the dismissal legislation, a subsequent request for an postponement/adjournment would, apart from exceptional circumstances, be unlikely to be granted.</w:t>
      </w:r>
    </w:p>
    <w:p w:rsidR="00FC6F4E" w:rsidRDefault="00FC6F4E" w:rsidP="00FC6F4E">
      <w:pPr>
        <w:pStyle w:val="Heading4"/>
      </w:pPr>
      <w:bookmarkStart w:id="22" w:name="TOC_withdrawn"/>
      <w:bookmarkEnd w:id="19"/>
      <w:r>
        <w:lastRenderedPageBreak/>
        <w:t>Withdrawals</w:t>
      </w:r>
      <w:r w:rsidR="00EC32B8">
        <w:fldChar w:fldCharType="begin"/>
      </w:r>
      <w:r w:rsidR="00EC32B8">
        <w:instrText xml:space="preserve"> XE "</w:instrText>
      </w:r>
      <w:r w:rsidR="00EC32B8" w:rsidRPr="001221FE">
        <w:instrText>applications:finalised</w:instrText>
      </w:r>
      <w:r w:rsidR="00EC32B8">
        <w:instrText xml:space="preserve">" \r "TOC_withdrawn" </w:instrText>
      </w:r>
      <w:r w:rsidR="00EC32B8">
        <w:fldChar w:fldCharType="end"/>
      </w:r>
      <w:r w:rsidR="00EC32B8">
        <w:fldChar w:fldCharType="begin"/>
      </w:r>
      <w:r w:rsidR="00EC32B8">
        <w:instrText xml:space="preserve"> XE "</w:instrText>
      </w:r>
      <w:r w:rsidR="00EC32B8" w:rsidRPr="00133DA4">
        <w:instrText>applications:withdrawn</w:instrText>
      </w:r>
      <w:r w:rsidR="00EC32B8">
        <w:instrText xml:space="preserve">" \r "TOC_withdrawn" </w:instrText>
      </w:r>
      <w:r w:rsidR="00EC32B8">
        <w:fldChar w:fldCharType="end"/>
      </w:r>
    </w:p>
    <w:p w:rsidR="00FC6F4E" w:rsidRDefault="00FC6F4E" w:rsidP="00FC6F4E">
      <w:r>
        <w:t>During 2017–18, 1019 applications were withdrawn by applicants; this represents 36.7 per cent of applications finalised during the year. This compares with 1060 applications (37.3 per cent of those finalised) in 2016–17. The VRB is usually not advised of the reasons</w:t>
      </w:r>
      <w:r w:rsidR="001D1DCA">
        <w:fldChar w:fldCharType="begin"/>
      </w:r>
      <w:r w:rsidR="001D1DCA">
        <w:instrText xml:space="preserve"> XE "</w:instrText>
      </w:r>
      <w:r w:rsidR="001D1DCA" w:rsidRPr="002D7689">
        <w:instrText>reasons</w:instrText>
      </w:r>
      <w:r w:rsidR="001D1DCA">
        <w:instrText xml:space="preserve">" </w:instrText>
      </w:r>
      <w:r w:rsidR="001D1DCA">
        <w:fldChar w:fldCharType="end"/>
      </w:r>
      <w:r>
        <w:t xml:space="preserve"> for withdrawal, but it appears likely that a substantial proportion of withdrawals are the consequence of intervention by the Repatriation Commission</w:t>
      </w:r>
      <w:r w:rsidR="0005789C">
        <w:fldChar w:fldCharType="begin"/>
      </w:r>
      <w:r w:rsidR="0005789C">
        <w:instrText xml:space="preserve"> XE "</w:instrText>
      </w:r>
      <w:r w:rsidR="0005789C" w:rsidRPr="002D7689">
        <w:instrText>Repatriation Commission</w:instrText>
      </w:r>
      <w:r w:rsidR="0005789C">
        <w:instrText xml:space="preserve">" </w:instrText>
      </w:r>
      <w:r w:rsidR="0005789C">
        <w:fldChar w:fldCharType="end"/>
      </w:r>
      <w:r>
        <w:t xml:space="preserve"> under s31 of the VEA, a reconsideration under s347</w:t>
      </w:r>
      <w:r w:rsidR="0005789C">
        <w:fldChar w:fldCharType="begin"/>
      </w:r>
      <w:r w:rsidR="0005789C">
        <w:instrText xml:space="preserve"> XE "</w:instrText>
      </w:r>
      <w:r w:rsidR="0005789C" w:rsidRPr="002D7689">
        <w:instrText>section 347 reconsideration</w:instrText>
      </w:r>
      <w:r w:rsidR="0005789C">
        <w:instrText xml:space="preserve">" </w:instrText>
      </w:r>
      <w:r w:rsidR="0005789C">
        <w:fldChar w:fldCharType="end"/>
      </w:r>
      <w:r>
        <w:t xml:space="preserve"> of the MRCA, or the applicant gaining a desired benefit as a result of VRB Alternative Dispute Resolution</w:t>
      </w:r>
      <w:r w:rsidR="00EC32B8">
        <w:fldChar w:fldCharType="begin"/>
      </w:r>
      <w:r w:rsidR="00EC32B8">
        <w:instrText xml:space="preserve"> XE "</w:instrText>
      </w:r>
      <w:r w:rsidR="00EC32B8" w:rsidRPr="003924C2">
        <w:instrText>alternative dispute resolution</w:instrText>
      </w:r>
      <w:r w:rsidR="00EC32B8">
        <w:instrText xml:space="preserve">" </w:instrText>
      </w:r>
      <w:r w:rsidR="00EC32B8">
        <w:fldChar w:fldCharType="end"/>
      </w:r>
      <w:r>
        <w:t xml:space="preserve"> processes or a new successful primary claim lodged with DVA.</w:t>
      </w:r>
    </w:p>
    <w:p w:rsidR="00FC6F4E" w:rsidRDefault="00FC6F4E" w:rsidP="00FC6F4E">
      <w:r>
        <w:t>Table 9 and Graphs 4.2 to 4.4 show the applications ready for hearing, postponements and substitutions, lapsing, and total withdrawals. In the ‘Ready for hearing’ section, the application numbers and percentages are averages, the latter being the proportion of corresponding applications as percentages of those outstanding for the registry. The figures here are not those at the end of the two financial years shown, but are means of the twelve month-end figures comprising each year; they therefore present a better indication of the typical numbers of applications that are ready to be heard. The application numbers have been rounded to the nearest integer. Because they are averages, the sum of the applications for all the registries may vary slightly from the applications for Australia.</w:t>
      </w:r>
    </w:p>
    <w:p w:rsidR="00EB20B1" w:rsidRDefault="00FC6F4E" w:rsidP="00FC6F4E">
      <w:r>
        <w:t>In the ‘Total withdrawals’ section the withdrawal percentage is the percentage of finalised applications that had been withdrawn.</w:t>
      </w:r>
    </w:p>
    <w:tbl>
      <w:tblPr>
        <w:tblW w:w="5000" w:type="pct"/>
        <w:tblBorders>
          <w:top w:val="single" w:sz="4" w:space="0" w:color="A39892"/>
          <w:left w:val="single" w:sz="4" w:space="0" w:color="A39892"/>
          <w:bottom w:val="single" w:sz="4" w:space="0" w:color="A39892"/>
          <w:right w:val="single" w:sz="4" w:space="0" w:color="A39892"/>
          <w:insideH w:val="single" w:sz="4" w:space="0" w:color="A39892"/>
          <w:insideV w:val="single" w:sz="4" w:space="0" w:color="A39892"/>
        </w:tblBorders>
        <w:tblLayout w:type="fixed"/>
        <w:tblCellMar>
          <w:left w:w="115" w:type="dxa"/>
          <w:right w:w="115" w:type="dxa"/>
        </w:tblCellMar>
        <w:tblLook w:val="0000" w:firstRow="0" w:lastRow="0" w:firstColumn="0" w:lastColumn="0" w:noHBand="0" w:noVBand="0"/>
      </w:tblPr>
      <w:tblGrid>
        <w:gridCol w:w="1915"/>
        <w:gridCol w:w="990"/>
        <w:gridCol w:w="840"/>
        <w:gridCol w:w="841"/>
        <w:gridCol w:w="840"/>
        <w:gridCol w:w="841"/>
        <w:gridCol w:w="840"/>
        <w:gridCol w:w="841"/>
      </w:tblGrid>
      <w:tr w:rsidR="00D47479" w:rsidRPr="00797E5C" w:rsidTr="00A42141">
        <w:trPr>
          <w:cantSplit/>
          <w:tblHeader/>
        </w:trPr>
        <w:tc>
          <w:tcPr>
            <w:tcW w:w="7948" w:type="dxa"/>
            <w:gridSpan w:val="8"/>
            <w:tcBorders>
              <w:bottom w:val="single" w:sz="4" w:space="0" w:color="A39892"/>
            </w:tcBorders>
            <w:shd w:val="clear" w:color="auto" w:fill="A39892"/>
          </w:tcPr>
          <w:p w:rsidR="00D47479" w:rsidRPr="00164C95" w:rsidRDefault="00D47479" w:rsidP="00A42141">
            <w:pPr>
              <w:pStyle w:val="TableName"/>
            </w:pPr>
            <w:r w:rsidRPr="00D47479">
              <w:t>Table 8: Listings, postponements, dismissals and withdrawals</w:t>
            </w:r>
          </w:p>
        </w:tc>
      </w:tr>
      <w:tr w:rsidR="00D47479" w:rsidRPr="00797E5C" w:rsidTr="00397AB9">
        <w:trPr>
          <w:cantSplit/>
        </w:trPr>
        <w:tc>
          <w:tcPr>
            <w:tcW w:w="1915" w:type="dxa"/>
            <w:tcBorders>
              <w:bottom w:val="single" w:sz="4" w:space="0" w:color="A39892"/>
            </w:tcBorders>
            <w:shd w:val="clear" w:color="auto" w:fill="C6BDB6"/>
          </w:tcPr>
          <w:p w:rsidR="00D47479" w:rsidRPr="00797E5C" w:rsidRDefault="00D47479" w:rsidP="00A42141">
            <w:pPr>
              <w:pStyle w:val="TableText"/>
              <w:spacing w:before="30" w:after="30"/>
              <w:rPr>
                <w:rFonts w:ascii="Times New Roman" w:hAnsi="Times New Roman"/>
                <w:sz w:val="24"/>
                <w:szCs w:val="24"/>
              </w:rPr>
            </w:pPr>
          </w:p>
        </w:tc>
        <w:tc>
          <w:tcPr>
            <w:tcW w:w="990" w:type="dxa"/>
            <w:tcBorders>
              <w:bottom w:val="single" w:sz="4" w:space="0" w:color="A39892"/>
            </w:tcBorders>
            <w:shd w:val="clear" w:color="auto" w:fill="C6BDB6"/>
          </w:tcPr>
          <w:p w:rsidR="00D47479" w:rsidRPr="00797E5C" w:rsidRDefault="00D47479" w:rsidP="00A42141">
            <w:pPr>
              <w:pStyle w:val="TableText"/>
              <w:spacing w:before="30" w:after="30"/>
              <w:rPr>
                <w:rFonts w:ascii="Times New Roman" w:hAnsi="Times New Roman"/>
                <w:sz w:val="24"/>
                <w:szCs w:val="24"/>
              </w:rPr>
            </w:pPr>
            <w:r w:rsidRPr="00797E5C">
              <w:t>Year</w:t>
            </w:r>
          </w:p>
        </w:tc>
        <w:tc>
          <w:tcPr>
            <w:tcW w:w="840" w:type="dxa"/>
            <w:tcBorders>
              <w:bottom w:val="single" w:sz="4" w:space="0" w:color="A39892"/>
            </w:tcBorders>
            <w:shd w:val="clear" w:color="auto" w:fill="C6BDB6"/>
          </w:tcPr>
          <w:p w:rsidR="00D47479" w:rsidRPr="00797E5C" w:rsidRDefault="00D47479" w:rsidP="00A42141">
            <w:pPr>
              <w:pStyle w:val="TableText"/>
              <w:spacing w:before="30" w:after="30"/>
              <w:rPr>
                <w:rFonts w:ascii="Times New Roman" w:hAnsi="Times New Roman"/>
                <w:sz w:val="24"/>
                <w:szCs w:val="24"/>
              </w:rPr>
            </w:pPr>
            <w:r w:rsidRPr="00797E5C">
              <w:t>NSW</w:t>
            </w:r>
          </w:p>
        </w:tc>
        <w:tc>
          <w:tcPr>
            <w:tcW w:w="841" w:type="dxa"/>
            <w:tcBorders>
              <w:bottom w:val="single" w:sz="4" w:space="0" w:color="A39892"/>
            </w:tcBorders>
            <w:shd w:val="clear" w:color="auto" w:fill="C6BDB6"/>
          </w:tcPr>
          <w:p w:rsidR="00D47479" w:rsidRPr="00797E5C" w:rsidRDefault="00D47479" w:rsidP="00A42141">
            <w:pPr>
              <w:pStyle w:val="TableText"/>
              <w:spacing w:before="30" w:after="30"/>
              <w:rPr>
                <w:rFonts w:ascii="Times New Roman" w:hAnsi="Times New Roman"/>
                <w:sz w:val="24"/>
                <w:szCs w:val="24"/>
              </w:rPr>
            </w:pPr>
            <w:r w:rsidRPr="00797E5C">
              <w:t>VIC</w:t>
            </w:r>
          </w:p>
        </w:tc>
        <w:tc>
          <w:tcPr>
            <w:tcW w:w="840" w:type="dxa"/>
            <w:tcBorders>
              <w:bottom w:val="single" w:sz="4" w:space="0" w:color="A39892"/>
            </w:tcBorders>
            <w:shd w:val="clear" w:color="auto" w:fill="C6BDB6"/>
          </w:tcPr>
          <w:p w:rsidR="00D47479" w:rsidRPr="00797E5C" w:rsidRDefault="00D47479" w:rsidP="00A42141">
            <w:pPr>
              <w:pStyle w:val="TableText"/>
              <w:spacing w:before="30" w:after="30"/>
              <w:rPr>
                <w:rFonts w:ascii="Times New Roman" w:hAnsi="Times New Roman"/>
                <w:sz w:val="24"/>
                <w:szCs w:val="24"/>
              </w:rPr>
            </w:pPr>
            <w:r w:rsidRPr="00797E5C">
              <w:t>QLD</w:t>
            </w:r>
          </w:p>
        </w:tc>
        <w:tc>
          <w:tcPr>
            <w:tcW w:w="841" w:type="dxa"/>
            <w:tcBorders>
              <w:bottom w:val="single" w:sz="4" w:space="0" w:color="A39892"/>
            </w:tcBorders>
            <w:shd w:val="clear" w:color="auto" w:fill="C6BDB6"/>
          </w:tcPr>
          <w:p w:rsidR="00D47479" w:rsidRPr="00797E5C" w:rsidRDefault="00D47479" w:rsidP="00A42141">
            <w:pPr>
              <w:pStyle w:val="TableText"/>
              <w:spacing w:before="30" w:after="30"/>
              <w:rPr>
                <w:rFonts w:ascii="Times New Roman" w:hAnsi="Times New Roman"/>
                <w:sz w:val="24"/>
                <w:szCs w:val="24"/>
              </w:rPr>
            </w:pPr>
            <w:r w:rsidRPr="00797E5C">
              <w:t>SA</w:t>
            </w:r>
          </w:p>
        </w:tc>
        <w:tc>
          <w:tcPr>
            <w:tcW w:w="840" w:type="dxa"/>
            <w:tcBorders>
              <w:bottom w:val="single" w:sz="4" w:space="0" w:color="A39892"/>
            </w:tcBorders>
            <w:shd w:val="clear" w:color="auto" w:fill="C6BDB6"/>
          </w:tcPr>
          <w:p w:rsidR="00D47479" w:rsidRPr="00797E5C" w:rsidRDefault="00D47479" w:rsidP="00A42141">
            <w:pPr>
              <w:pStyle w:val="TableText"/>
              <w:spacing w:before="30" w:after="30"/>
              <w:rPr>
                <w:rFonts w:ascii="Times New Roman" w:hAnsi="Times New Roman"/>
                <w:sz w:val="24"/>
                <w:szCs w:val="24"/>
              </w:rPr>
            </w:pPr>
            <w:r w:rsidRPr="00797E5C">
              <w:t>WA</w:t>
            </w:r>
          </w:p>
        </w:tc>
        <w:tc>
          <w:tcPr>
            <w:tcW w:w="841" w:type="dxa"/>
            <w:tcBorders>
              <w:bottom w:val="single" w:sz="4" w:space="0" w:color="A39892"/>
            </w:tcBorders>
            <w:shd w:val="clear" w:color="auto" w:fill="C6BDB6"/>
          </w:tcPr>
          <w:p w:rsidR="00D47479" w:rsidRPr="00797E5C" w:rsidRDefault="00D47479" w:rsidP="00A42141">
            <w:pPr>
              <w:pStyle w:val="TableText"/>
              <w:spacing w:before="30" w:after="30"/>
              <w:rPr>
                <w:rFonts w:ascii="Times New Roman" w:hAnsi="Times New Roman"/>
                <w:sz w:val="24"/>
                <w:szCs w:val="24"/>
              </w:rPr>
            </w:pPr>
            <w:r w:rsidRPr="00797E5C">
              <w:t>AUST</w:t>
            </w:r>
          </w:p>
        </w:tc>
      </w:tr>
      <w:tr w:rsidR="00D47479" w:rsidRPr="00797E5C" w:rsidTr="00397AB9">
        <w:trPr>
          <w:cantSplit/>
        </w:trPr>
        <w:tc>
          <w:tcPr>
            <w:tcW w:w="1915" w:type="dxa"/>
            <w:tcBorders>
              <w:top w:val="single" w:sz="4" w:space="0" w:color="A39892"/>
              <w:left w:val="single" w:sz="4" w:space="0" w:color="A39892"/>
              <w:bottom w:val="nil"/>
              <w:right w:val="single" w:sz="4" w:space="0" w:color="A39892"/>
            </w:tcBorders>
            <w:shd w:val="clear" w:color="auto" w:fill="auto"/>
          </w:tcPr>
          <w:p w:rsidR="00D47479" w:rsidRPr="00D47479" w:rsidRDefault="00D47479" w:rsidP="00D47479">
            <w:pPr>
              <w:pStyle w:val="TableText"/>
            </w:pPr>
            <w:r>
              <w:t>Ready for hearing</w:t>
            </w:r>
          </w:p>
        </w:tc>
        <w:tc>
          <w:tcPr>
            <w:tcW w:w="99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2017–18</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27</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15</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55</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12</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13</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122</w:t>
            </w:r>
          </w:p>
        </w:tc>
      </w:tr>
      <w:tr w:rsidR="00D47479" w:rsidRPr="00797E5C" w:rsidTr="00397AB9">
        <w:trPr>
          <w:cantSplit/>
        </w:trPr>
        <w:tc>
          <w:tcPr>
            <w:tcW w:w="1915" w:type="dxa"/>
            <w:tcBorders>
              <w:top w:val="nil"/>
              <w:left w:val="single" w:sz="4" w:space="0" w:color="A39892"/>
              <w:bottom w:val="nil"/>
              <w:right w:val="single" w:sz="4" w:space="0" w:color="A39892"/>
            </w:tcBorders>
            <w:shd w:val="clear" w:color="auto" w:fill="auto"/>
          </w:tcPr>
          <w:p w:rsidR="00D47479" w:rsidRPr="00D47479" w:rsidRDefault="00D47479" w:rsidP="00D47479">
            <w:pPr>
              <w:pStyle w:val="TableText"/>
            </w:pPr>
          </w:p>
        </w:tc>
        <w:tc>
          <w:tcPr>
            <w:tcW w:w="99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2.6%</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3.2%</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8%</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7.9%</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9.2%</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4.9%</w:t>
            </w:r>
          </w:p>
        </w:tc>
      </w:tr>
      <w:tr w:rsidR="00D47479" w:rsidRPr="00797E5C" w:rsidTr="00397AB9">
        <w:trPr>
          <w:cantSplit/>
        </w:trPr>
        <w:tc>
          <w:tcPr>
            <w:tcW w:w="1915" w:type="dxa"/>
            <w:tcBorders>
              <w:top w:val="nil"/>
              <w:left w:val="single" w:sz="4" w:space="0" w:color="A39892"/>
              <w:bottom w:val="nil"/>
              <w:right w:val="single" w:sz="4" w:space="0" w:color="A39892"/>
            </w:tcBorders>
            <w:shd w:val="clear" w:color="auto" w:fill="auto"/>
          </w:tcPr>
          <w:p w:rsidR="00D47479" w:rsidRPr="00D47479" w:rsidRDefault="00D47479" w:rsidP="00D47479">
            <w:pPr>
              <w:pStyle w:val="TableText"/>
            </w:pPr>
          </w:p>
        </w:tc>
        <w:tc>
          <w:tcPr>
            <w:tcW w:w="99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2016–17</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41</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33</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87</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14</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17</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192</w:t>
            </w:r>
          </w:p>
        </w:tc>
      </w:tr>
      <w:tr w:rsidR="00D47479" w:rsidRPr="00797E5C" w:rsidTr="00397AB9">
        <w:trPr>
          <w:cantSplit/>
        </w:trPr>
        <w:tc>
          <w:tcPr>
            <w:tcW w:w="1915" w:type="dxa"/>
            <w:tcBorders>
              <w:top w:val="nil"/>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p>
        </w:tc>
        <w:tc>
          <w:tcPr>
            <w:tcW w:w="99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4.3%</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7.8%</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12.2%</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10.1%</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14.3%</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8.1%</w:t>
            </w:r>
          </w:p>
        </w:tc>
      </w:tr>
      <w:tr w:rsidR="00D47479" w:rsidRPr="00797E5C" w:rsidTr="00397AB9">
        <w:trPr>
          <w:cantSplit/>
        </w:trPr>
        <w:tc>
          <w:tcPr>
            <w:tcW w:w="1915" w:type="dxa"/>
            <w:tcBorders>
              <w:left w:val="single" w:sz="4" w:space="0" w:color="A39892"/>
              <w:bottom w:val="nil"/>
              <w:right w:val="single" w:sz="4" w:space="0" w:color="A39892"/>
            </w:tcBorders>
            <w:shd w:val="clear" w:color="auto" w:fill="auto"/>
          </w:tcPr>
          <w:p w:rsidR="00D47479" w:rsidRPr="00D47479" w:rsidRDefault="00D47479" w:rsidP="00D47479">
            <w:pPr>
              <w:pStyle w:val="TableText"/>
            </w:pPr>
            <w:r>
              <w:t>Postponements</w:t>
            </w:r>
          </w:p>
        </w:tc>
        <w:tc>
          <w:tcPr>
            <w:tcW w:w="99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2017–18</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15</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0</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9</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0</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0</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24</w:t>
            </w:r>
          </w:p>
        </w:tc>
      </w:tr>
      <w:tr w:rsidR="00D47479" w:rsidRPr="00797E5C" w:rsidTr="00397AB9">
        <w:trPr>
          <w:cantSplit/>
        </w:trPr>
        <w:tc>
          <w:tcPr>
            <w:tcW w:w="1915" w:type="dxa"/>
            <w:tcBorders>
              <w:top w:val="nil"/>
              <w:left w:val="single" w:sz="4" w:space="0" w:color="A39892"/>
              <w:bottom w:val="single" w:sz="4" w:space="0" w:color="A39892"/>
              <w:right w:val="single" w:sz="4" w:space="0" w:color="A39892"/>
            </w:tcBorders>
            <w:shd w:val="clear" w:color="auto" w:fill="auto"/>
          </w:tcPr>
          <w:p w:rsidR="00D47479" w:rsidRDefault="00D47479" w:rsidP="00D47479">
            <w:pPr>
              <w:pStyle w:val="TableText"/>
            </w:pPr>
          </w:p>
        </w:tc>
        <w:tc>
          <w:tcPr>
            <w:tcW w:w="99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2016–17</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32</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18</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12</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1</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0</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63</w:t>
            </w:r>
          </w:p>
        </w:tc>
      </w:tr>
      <w:tr w:rsidR="00D47479" w:rsidRPr="00797E5C" w:rsidTr="00397AB9">
        <w:trPr>
          <w:cantSplit/>
        </w:trPr>
        <w:tc>
          <w:tcPr>
            <w:tcW w:w="1915" w:type="dxa"/>
            <w:tcBorders>
              <w:left w:val="single" w:sz="4" w:space="0" w:color="A39892"/>
              <w:bottom w:val="nil"/>
              <w:right w:val="single" w:sz="4" w:space="0" w:color="A39892"/>
            </w:tcBorders>
            <w:shd w:val="clear" w:color="auto" w:fill="auto"/>
          </w:tcPr>
          <w:p w:rsidR="00D47479" w:rsidRDefault="00D47479" w:rsidP="00D47479">
            <w:pPr>
              <w:pStyle w:val="TableText"/>
            </w:pPr>
            <w:r>
              <w:t>Percentage substitutions</w:t>
            </w:r>
          </w:p>
        </w:tc>
        <w:tc>
          <w:tcPr>
            <w:tcW w:w="99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2017–18</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26.7%</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0</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44.4%</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0</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0</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33.3%</w:t>
            </w:r>
          </w:p>
        </w:tc>
      </w:tr>
      <w:tr w:rsidR="00D47479" w:rsidRPr="00797E5C" w:rsidTr="00397AB9">
        <w:trPr>
          <w:cantSplit/>
        </w:trPr>
        <w:tc>
          <w:tcPr>
            <w:tcW w:w="1915" w:type="dxa"/>
            <w:tcBorders>
              <w:top w:val="nil"/>
              <w:left w:val="single" w:sz="4" w:space="0" w:color="A39892"/>
              <w:bottom w:val="single" w:sz="4" w:space="0" w:color="A39892"/>
              <w:right w:val="single" w:sz="4" w:space="0" w:color="A39892"/>
            </w:tcBorders>
            <w:shd w:val="clear" w:color="auto" w:fill="auto"/>
          </w:tcPr>
          <w:p w:rsidR="00D47479" w:rsidRDefault="00D47479" w:rsidP="00D47479">
            <w:pPr>
              <w:pStyle w:val="TableText"/>
            </w:pPr>
          </w:p>
        </w:tc>
        <w:tc>
          <w:tcPr>
            <w:tcW w:w="99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2016–17</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28.1%</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16.7%</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66.7%</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0</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0</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31.7%</w:t>
            </w:r>
          </w:p>
        </w:tc>
      </w:tr>
      <w:tr w:rsidR="00D47479" w:rsidRPr="00797E5C" w:rsidTr="00397AB9">
        <w:trPr>
          <w:cantSplit/>
        </w:trPr>
        <w:tc>
          <w:tcPr>
            <w:tcW w:w="1915" w:type="dxa"/>
            <w:tcBorders>
              <w:left w:val="single" w:sz="4" w:space="0" w:color="A39892"/>
              <w:bottom w:val="nil"/>
              <w:right w:val="single" w:sz="4" w:space="0" w:color="A39892"/>
            </w:tcBorders>
            <w:shd w:val="clear" w:color="auto" w:fill="auto"/>
          </w:tcPr>
          <w:p w:rsidR="00D47479" w:rsidRDefault="00D47479" w:rsidP="00D47479">
            <w:pPr>
              <w:pStyle w:val="TableText"/>
            </w:pPr>
            <w:r>
              <w:t>Dismissed</w:t>
            </w:r>
          </w:p>
        </w:tc>
        <w:tc>
          <w:tcPr>
            <w:tcW w:w="99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2017–18</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27</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8</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23</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7</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8</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73</w:t>
            </w:r>
          </w:p>
        </w:tc>
      </w:tr>
      <w:tr w:rsidR="00D47479" w:rsidRPr="00797E5C" w:rsidTr="00397AB9">
        <w:trPr>
          <w:cantSplit/>
        </w:trPr>
        <w:tc>
          <w:tcPr>
            <w:tcW w:w="1915" w:type="dxa"/>
            <w:tcBorders>
              <w:top w:val="nil"/>
              <w:left w:val="single" w:sz="4" w:space="0" w:color="A39892"/>
              <w:bottom w:val="single" w:sz="4" w:space="0" w:color="A39892"/>
              <w:right w:val="single" w:sz="4" w:space="0" w:color="A39892"/>
            </w:tcBorders>
            <w:shd w:val="clear" w:color="auto" w:fill="auto"/>
          </w:tcPr>
          <w:p w:rsidR="00D47479" w:rsidRDefault="00D47479" w:rsidP="00D47479">
            <w:pPr>
              <w:pStyle w:val="TableText"/>
            </w:pPr>
          </w:p>
        </w:tc>
        <w:tc>
          <w:tcPr>
            <w:tcW w:w="99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2016–17</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13</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7</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20</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7</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5</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52</w:t>
            </w:r>
          </w:p>
        </w:tc>
      </w:tr>
      <w:tr w:rsidR="00D47479" w:rsidRPr="00797E5C" w:rsidTr="00397AB9">
        <w:trPr>
          <w:cantSplit/>
        </w:trPr>
        <w:tc>
          <w:tcPr>
            <w:tcW w:w="1915" w:type="dxa"/>
            <w:tcBorders>
              <w:left w:val="single" w:sz="4" w:space="0" w:color="A39892"/>
              <w:bottom w:val="nil"/>
              <w:right w:val="single" w:sz="4" w:space="0" w:color="A39892"/>
            </w:tcBorders>
            <w:shd w:val="clear" w:color="auto" w:fill="auto"/>
          </w:tcPr>
          <w:p w:rsidR="00D47479" w:rsidRDefault="00D47479" w:rsidP="00D47479">
            <w:pPr>
              <w:pStyle w:val="TableText"/>
            </w:pPr>
            <w:r>
              <w:t>Withdrawals</w:t>
            </w:r>
          </w:p>
        </w:tc>
        <w:tc>
          <w:tcPr>
            <w:tcW w:w="99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2017–18</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347</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154</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369</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87</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62</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1019</w:t>
            </w:r>
          </w:p>
        </w:tc>
      </w:tr>
      <w:tr w:rsidR="00D47479" w:rsidRPr="00797E5C" w:rsidTr="00397AB9">
        <w:trPr>
          <w:cantSplit/>
        </w:trPr>
        <w:tc>
          <w:tcPr>
            <w:tcW w:w="1915" w:type="dxa"/>
            <w:tcBorders>
              <w:top w:val="nil"/>
              <w:left w:val="single" w:sz="4" w:space="0" w:color="A39892"/>
              <w:bottom w:val="nil"/>
              <w:right w:val="single" w:sz="4" w:space="0" w:color="A39892"/>
            </w:tcBorders>
            <w:shd w:val="clear" w:color="auto" w:fill="auto"/>
          </w:tcPr>
          <w:p w:rsidR="00D47479" w:rsidRDefault="00D47479" w:rsidP="00D47479">
            <w:pPr>
              <w:pStyle w:val="TableText"/>
            </w:pPr>
          </w:p>
        </w:tc>
        <w:tc>
          <w:tcPr>
            <w:tcW w:w="99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31.5%</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36.8%</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41.8%</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45.8%</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34.6%</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36.7%</w:t>
            </w:r>
          </w:p>
        </w:tc>
      </w:tr>
      <w:tr w:rsidR="00D47479" w:rsidRPr="00797E5C" w:rsidTr="00397AB9">
        <w:trPr>
          <w:cantSplit/>
        </w:trPr>
        <w:tc>
          <w:tcPr>
            <w:tcW w:w="1915" w:type="dxa"/>
            <w:tcBorders>
              <w:top w:val="nil"/>
              <w:left w:val="single" w:sz="4" w:space="0" w:color="A39892"/>
              <w:bottom w:val="nil"/>
              <w:right w:val="single" w:sz="4" w:space="0" w:color="A39892"/>
            </w:tcBorders>
            <w:shd w:val="clear" w:color="auto" w:fill="auto"/>
          </w:tcPr>
          <w:p w:rsidR="00D47479" w:rsidRDefault="00D47479" w:rsidP="00D47479">
            <w:pPr>
              <w:pStyle w:val="TableText"/>
            </w:pPr>
          </w:p>
        </w:tc>
        <w:tc>
          <w:tcPr>
            <w:tcW w:w="99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2016–17</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310</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202</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374</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94</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80</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1060</w:t>
            </w:r>
          </w:p>
        </w:tc>
      </w:tr>
      <w:tr w:rsidR="00D47479" w:rsidRPr="00797E5C" w:rsidTr="00397AB9">
        <w:trPr>
          <w:cantSplit/>
        </w:trPr>
        <w:tc>
          <w:tcPr>
            <w:tcW w:w="1915" w:type="dxa"/>
            <w:tcBorders>
              <w:top w:val="nil"/>
              <w:left w:val="single" w:sz="4" w:space="0" w:color="A39892"/>
              <w:bottom w:val="single" w:sz="4" w:space="0" w:color="A39892"/>
              <w:right w:val="single" w:sz="4" w:space="0" w:color="A39892"/>
            </w:tcBorders>
            <w:shd w:val="clear" w:color="auto" w:fill="auto"/>
          </w:tcPr>
          <w:p w:rsidR="00D47479" w:rsidRDefault="00D47479" w:rsidP="00D47479">
            <w:pPr>
              <w:pStyle w:val="TableText"/>
            </w:pPr>
          </w:p>
        </w:tc>
        <w:tc>
          <w:tcPr>
            <w:tcW w:w="99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28.9%</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40.2%</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40.5%</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56.3%</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45.2%</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D47479" w:rsidRPr="00D47479" w:rsidRDefault="00D47479" w:rsidP="00D47479">
            <w:pPr>
              <w:pStyle w:val="TableText"/>
            </w:pPr>
            <w:r>
              <w:t>37.3%</w:t>
            </w:r>
          </w:p>
        </w:tc>
      </w:tr>
    </w:tbl>
    <w:p w:rsidR="00FC6F4E" w:rsidRDefault="00FC6F4E" w:rsidP="00FC6F4E"/>
    <w:p w:rsidR="00FC6F4E" w:rsidRDefault="006A485B" w:rsidP="006A485B">
      <w:pPr>
        <w:pStyle w:val="FigureName"/>
      </w:pPr>
      <w:r w:rsidRPr="006A485B">
        <w:lastRenderedPageBreak/>
        <w:t>Graph 3.1: Distribution by state of dismissals 2017–18</w:t>
      </w:r>
    </w:p>
    <w:p w:rsidR="006A485B" w:rsidRDefault="00FD72DB" w:rsidP="00FD72DB">
      <w:pPr>
        <w:pStyle w:val="FigurePara"/>
        <w:jc w:val="center"/>
      </w:pPr>
      <w:r>
        <w:rPr>
          <w:noProof/>
          <w:lang w:eastAsia="en-AU"/>
        </w:rPr>
        <w:drawing>
          <wp:inline distT="0" distB="0" distL="0" distR="0" wp14:anchorId="4D5DB239" wp14:editId="1E8B21BB">
            <wp:extent cx="2345690" cy="2524760"/>
            <wp:effectExtent l="0" t="0" r="0" b="0"/>
            <wp:docPr id="36" name="Picture 36" descr="Graph 3.1: Distribution by state of dismissals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P Plus\Docs\DVA\Veterans' Review Board\Annual Report 2017-18\sourcedocs\Graph 3.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5690" cy="2524760"/>
                    </a:xfrm>
                    <a:prstGeom prst="rect">
                      <a:avLst/>
                    </a:prstGeom>
                    <a:noFill/>
                    <a:ln>
                      <a:noFill/>
                    </a:ln>
                  </pic:spPr>
                </pic:pic>
              </a:graphicData>
            </a:graphic>
          </wp:inline>
        </w:drawing>
      </w:r>
    </w:p>
    <w:p w:rsidR="006A485B" w:rsidRDefault="006A485B" w:rsidP="006A485B">
      <w:pPr>
        <w:pStyle w:val="FigureName"/>
      </w:pPr>
      <w:r w:rsidRPr="006A485B">
        <w:t>Graph 3.2: Distribution by state of withdrawals 2017–18</w:t>
      </w:r>
    </w:p>
    <w:p w:rsidR="006A485B" w:rsidRDefault="00FD72DB" w:rsidP="00FD72DB">
      <w:pPr>
        <w:pStyle w:val="FigurePara"/>
        <w:jc w:val="center"/>
      </w:pPr>
      <w:r>
        <w:rPr>
          <w:noProof/>
          <w:lang w:eastAsia="en-AU"/>
        </w:rPr>
        <w:drawing>
          <wp:inline distT="0" distB="0" distL="0" distR="0" wp14:anchorId="5A99C16C" wp14:editId="579E38CE">
            <wp:extent cx="2474595" cy="2514600"/>
            <wp:effectExtent l="0" t="0" r="1905" b="0"/>
            <wp:docPr id="37" name="Picture 37" descr="Graph 3.2: Distribution by state of withdrawals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P Plus\Docs\DVA\Veterans' Review Board\Annual Report 2017-18\sourcedocs\Graph 3.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4595" cy="2514600"/>
                    </a:xfrm>
                    <a:prstGeom prst="rect">
                      <a:avLst/>
                    </a:prstGeom>
                    <a:noFill/>
                    <a:ln>
                      <a:noFill/>
                    </a:ln>
                  </pic:spPr>
                </pic:pic>
              </a:graphicData>
            </a:graphic>
          </wp:inline>
        </w:drawing>
      </w:r>
    </w:p>
    <w:p w:rsidR="00EC32B8" w:rsidRDefault="00EC32B8" w:rsidP="00EC32B8"/>
    <w:bookmarkEnd w:id="21"/>
    <w:p w:rsidR="006A485B" w:rsidRDefault="009F4BDE" w:rsidP="009F4BDE">
      <w:pPr>
        <w:pStyle w:val="FigureName"/>
      </w:pPr>
      <w:r w:rsidRPr="009F4BDE">
        <w:lastRenderedPageBreak/>
        <w:t>Graph 3.3: Withdrawals as a percentage of finalisations</w:t>
      </w:r>
    </w:p>
    <w:p w:rsidR="009F4BDE" w:rsidRDefault="009F4BDE" w:rsidP="00FD72DB">
      <w:pPr>
        <w:pStyle w:val="FigurePara"/>
        <w:jc w:val="center"/>
      </w:pPr>
      <w:r>
        <w:br/>
      </w:r>
      <w:r>
        <w:rPr>
          <w:noProof/>
          <w:lang w:eastAsia="en-AU"/>
        </w:rPr>
        <w:drawing>
          <wp:inline distT="0" distB="0" distL="0" distR="0" wp14:anchorId="6BF6183E" wp14:editId="5B0CE175">
            <wp:extent cx="4846320" cy="2476854"/>
            <wp:effectExtent l="0" t="0" r="0" b="0"/>
            <wp:docPr id="39" name="Picture 39" descr="Graph 3.3: Withdrawals as a percentage of finali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P Plus\Docs\DVA\Veterans' Review Board\Annual Report 2017-18\sourcedocs\Graph 3.3.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46320" cy="2476854"/>
                    </a:xfrm>
                    <a:prstGeom prst="rect">
                      <a:avLst/>
                    </a:prstGeom>
                    <a:noFill/>
                    <a:ln>
                      <a:noFill/>
                    </a:ln>
                  </pic:spPr>
                </pic:pic>
              </a:graphicData>
            </a:graphic>
          </wp:inline>
        </w:drawing>
      </w:r>
    </w:p>
    <w:bookmarkEnd w:id="22"/>
    <w:p w:rsidR="00EC32B8" w:rsidRDefault="00EC32B8" w:rsidP="00EC32B8"/>
    <w:p w:rsidR="0065062A" w:rsidRDefault="0065062A" w:rsidP="0065062A">
      <w:pPr>
        <w:pStyle w:val="Heading3"/>
        <w:pageBreakBefore/>
      </w:pPr>
      <w:r>
        <w:lastRenderedPageBreak/>
        <w:t>OUTCOME 5:</w:t>
      </w:r>
      <w:r>
        <w:br/>
        <w:t>ACCESSIBLE AND RESPONSIVE TO VETERAN COMMUNITY STAKEHOLDERS</w:t>
      </w:r>
    </w:p>
    <w:p w:rsidR="0065062A" w:rsidRDefault="0065062A" w:rsidP="0065062A">
      <w:pPr>
        <w:pStyle w:val="Heading4"/>
      </w:pPr>
      <w:bookmarkStart w:id="23" w:name="TOC_representatives"/>
      <w:r>
        <w:t>Representation for Applicants</w:t>
      </w:r>
      <w:r w:rsidR="0005789C">
        <w:fldChar w:fldCharType="begin"/>
      </w:r>
      <w:r w:rsidR="0005789C">
        <w:instrText xml:space="preserve"> XE "</w:instrText>
      </w:r>
      <w:r w:rsidR="0005789C" w:rsidRPr="002D7689">
        <w:instrText>representatives</w:instrText>
      </w:r>
      <w:r w:rsidR="0005789C">
        <w:instrText xml:space="preserve">" \r "TOC_representatives" </w:instrText>
      </w:r>
      <w:r w:rsidR="0005789C">
        <w:fldChar w:fldCharType="end"/>
      </w:r>
    </w:p>
    <w:p w:rsidR="009F4BDE" w:rsidRDefault="0065062A" w:rsidP="0065062A">
      <w:r>
        <w:t>Representation for applicants at VRB hearings is provided by a number of exservice and related organisations and by some private individuals.</w:t>
      </w:r>
    </w:p>
    <w:tbl>
      <w:tblPr>
        <w:tblW w:w="5000" w:type="pct"/>
        <w:tblBorders>
          <w:top w:val="single" w:sz="4" w:space="0" w:color="A39892"/>
          <w:left w:val="single" w:sz="4" w:space="0" w:color="A39892"/>
          <w:bottom w:val="single" w:sz="4" w:space="0" w:color="A39892"/>
          <w:right w:val="single" w:sz="4" w:space="0" w:color="A39892"/>
          <w:insideH w:val="single" w:sz="4" w:space="0" w:color="A39892"/>
          <w:insideV w:val="single" w:sz="4" w:space="0" w:color="A39892"/>
        </w:tblBorders>
        <w:tblLayout w:type="fixed"/>
        <w:tblCellMar>
          <w:left w:w="115" w:type="dxa"/>
          <w:right w:w="115" w:type="dxa"/>
        </w:tblCellMar>
        <w:tblLook w:val="0000" w:firstRow="0" w:lastRow="0" w:firstColumn="0" w:lastColumn="0" w:noHBand="0" w:noVBand="0"/>
      </w:tblPr>
      <w:tblGrid>
        <w:gridCol w:w="1915"/>
        <w:gridCol w:w="990"/>
        <w:gridCol w:w="840"/>
        <w:gridCol w:w="841"/>
        <w:gridCol w:w="840"/>
        <w:gridCol w:w="841"/>
        <w:gridCol w:w="840"/>
        <w:gridCol w:w="841"/>
      </w:tblGrid>
      <w:tr w:rsidR="00397AB9" w:rsidRPr="00797E5C" w:rsidTr="00A42141">
        <w:trPr>
          <w:cantSplit/>
          <w:tblHeader/>
        </w:trPr>
        <w:tc>
          <w:tcPr>
            <w:tcW w:w="7948" w:type="dxa"/>
            <w:gridSpan w:val="8"/>
            <w:tcBorders>
              <w:bottom w:val="single" w:sz="4" w:space="0" w:color="A39892"/>
            </w:tcBorders>
            <w:shd w:val="clear" w:color="auto" w:fill="A39892"/>
          </w:tcPr>
          <w:p w:rsidR="00397AB9" w:rsidRPr="00164C95" w:rsidRDefault="00397AB9" w:rsidP="00A42141">
            <w:pPr>
              <w:pStyle w:val="TableName"/>
            </w:pPr>
            <w:r w:rsidRPr="00397AB9">
              <w:t>Table 9: Representation at hearings</w:t>
            </w:r>
          </w:p>
        </w:tc>
      </w:tr>
      <w:tr w:rsidR="00397AB9" w:rsidRPr="00797E5C" w:rsidTr="00397AB9">
        <w:trPr>
          <w:cantSplit/>
        </w:trPr>
        <w:tc>
          <w:tcPr>
            <w:tcW w:w="1915" w:type="dxa"/>
            <w:tcBorders>
              <w:bottom w:val="single" w:sz="4" w:space="0" w:color="A39892"/>
            </w:tcBorders>
            <w:shd w:val="clear" w:color="auto" w:fill="C6BDB6"/>
          </w:tcPr>
          <w:p w:rsidR="00397AB9" w:rsidRPr="00797E5C" w:rsidRDefault="00397AB9" w:rsidP="00A42141">
            <w:pPr>
              <w:pStyle w:val="TableText"/>
              <w:spacing w:before="30" w:after="30"/>
              <w:rPr>
                <w:rFonts w:ascii="Times New Roman" w:hAnsi="Times New Roman"/>
                <w:sz w:val="24"/>
                <w:szCs w:val="24"/>
              </w:rPr>
            </w:pPr>
          </w:p>
        </w:tc>
        <w:tc>
          <w:tcPr>
            <w:tcW w:w="990" w:type="dxa"/>
            <w:tcBorders>
              <w:bottom w:val="single" w:sz="4" w:space="0" w:color="A39892"/>
            </w:tcBorders>
            <w:shd w:val="clear" w:color="auto" w:fill="C6BDB6"/>
          </w:tcPr>
          <w:p w:rsidR="00397AB9" w:rsidRPr="00797E5C" w:rsidRDefault="00397AB9" w:rsidP="00A42141">
            <w:pPr>
              <w:pStyle w:val="TableText"/>
              <w:spacing w:before="30" w:after="30"/>
              <w:rPr>
                <w:rFonts w:ascii="Times New Roman" w:hAnsi="Times New Roman"/>
                <w:sz w:val="24"/>
                <w:szCs w:val="24"/>
              </w:rPr>
            </w:pPr>
            <w:r w:rsidRPr="00797E5C">
              <w:t>Year</w:t>
            </w:r>
          </w:p>
        </w:tc>
        <w:tc>
          <w:tcPr>
            <w:tcW w:w="840" w:type="dxa"/>
            <w:tcBorders>
              <w:bottom w:val="single" w:sz="4" w:space="0" w:color="A39892"/>
            </w:tcBorders>
            <w:shd w:val="clear" w:color="auto" w:fill="C6BDB6"/>
          </w:tcPr>
          <w:p w:rsidR="00397AB9" w:rsidRPr="00797E5C" w:rsidRDefault="00397AB9" w:rsidP="00A42141">
            <w:pPr>
              <w:pStyle w:val="TableText"/>
              <w:spacing w:before="30" w:after="30"/>
              <w:rPr>
                <w:rFonts w:ascii="Times New Roman" w:hAnsi="Times New Roman"/>
                <w:sz w:val="24"/>
                <w:szCs w:val="24"/>
              </w:rPr>
            </w:pPr>
            <w:r w:rsidRPr="00797E5C">
              <w:t>NSW</w:t>
            </w:r>
          </w:p>
        </w:tc>
        <w:tc>
          <w:tcPr>
            <w:tcW w:w="841" w:type="dxa"/>
            <w:tcBorders>
              <w:bottom w:val="single" w:sz="4" w:space="0" w:color="A39892"/>
            </w:tcBorders>
            <w:shd w:val="clear" w:color="auto" w:fill="C6BDB6"/>
          </w:tcPr>
          <w:p w:rsidR="00397AB9" w:rsidRPr="00797E5C" w:rsidRDefault="00397AB9" w:rsidP="00A42141">
            <w:pPr>
              <w:pStyle w:val="TableText"/>
              <w:spacing w:before="30" w:after="30"/>
              <w:rPr>
                <w:rFonts w:ascii="Times New Roman" w:hAnsi="Times New Roman"/>
                <w:sz w:val="24"/>
                <w:szCs w:val="24"/>
              </w:rPr>
            </w:pPr>
            <w:r w:rsidRPr="00797E5C">
              <w:t>VIC</w:t>
            </w:r>
          </w:p>
        </w:tc>
        <w:tc>
          <w:tcPr>
            <w:tcW w:w="840" w:type="dxa"/>
            <w:tcBorders>
              <w:bottom w:val="single" w:sz="4" w:space="0" w:color="A39892"/>
            </w:tcBorders>
            <w:shd w:val="clear" w:color="auto" w:fill="C6BDB6"/>
          </w:tcPr>
          <w:p w:rsidR="00397AB9" w:rsidRPr="00797E5C" w:rsidRDefault="00397AB9" w:rsidP="00A42141">
            <w:pPr>
              <w:pStyle w:val="TableText"/>
              <w:spacing w:before="30" w:after="30"/>
              <w:rPr>
                <w:rFonts w:ascii="Times New Roman" w:hAnsi="Times New Roman"/>
                <w:sz w:val="24"/>
                <w:szCs w:val="24"/>
              </w:rPr>
            </w:pPr>
            <w:r w:rsidRPr="00797E5C">
              <w:t>QLD</w:t>
            </w:r>
          </w:p>
        </w:tc>
        <w:tc>
          <w:tcPr>
            <w:tcW w:w="841" w:type="dxa"/>
            <w:tcBorders>
              <w:bottom w:val="single" w:sz="4" w:space="0" w:color="A39892"/>
            </w:tcBorders>
            <w:shd w:val="clear" w:color="auto" w:fill="C6BDB6"/>
          </w:tcPr>
          <w:p w:rsidR="00397AB9" w:rsidRPr="00797E5C" w:rsidRDefault="00397AB9" w:rsidP="00A42141">
            <w:pPr>
              <w:pStyle w:val="TableText"/>
              <w:spacing w:before="30" w:after="30"/>
              <w:rPr>
                <w:rFonts w:ascii="Times New Roman" w:hAnsi="Times New Roman"/>
                <w:sz w:val="24"/>
                <w:szCs w:val="24"/>
              </w:rPr>
            </w:pPr>
            <w:r w:rsidRPr="00797E5C">
              <w:t>SA</w:t>
            </w:r>
          </w:p>
        </w:tc>
        <w:tc>
          <w:tcPr>
            <w:tcW w:w="840" w:type="dxa"/>
            <w:tcBorders>
              <w:bottom w:val="single" w:sz="4" w:space="0" w:color="A39892"/>
            </w:tcBorders>
            <w:shd w:val="clear" w:color="auto" w:fill="C6BDB6"/>
          </w:tcPr>
          <w:p w:rsidR="00397AB9" w:rsidRPr="00797E5C" w:rsidRDefault="00397AB9" w:rsidP="00A42141">
            <w:pPr>
              <w:pStyle w:val="TableText"/>
              <w:spacing w:before="30" w:after="30"/>
              <w:rPr>
                <w:rFonts w:ascii="Times New Roman" w:hAnsi="Times New Roman"/>
                <w:sz w:val="24"/>
                <w:szCs w:val="24"/>
              </w:rPr>
            </w:pPr>
            <w:r w:rsidRPr="00797E5C">
              <w:t>WA</w:t>
            </w:r>
          </w:p>
        </w:tc>
        <w:tc>
          <w:tcPr>
            <w:tcW w:w="841" w:type="dxa"/>
            <w:tcBorders>
              <w:bottom w:val="single" w:sz="4" w:space="0" w:color="A39892"/>
            </w:tcBorders>
            <w:shd w:val="clear" w:color="auto" w:fill="C6BDB6"/>
          </w:tcPr>
          <w:p w:rsidR="00397AB9" w:rsidRPr="00797E5C" w:rsidRDefault="00397AB9" w:rsidP="00A42141">
            <w:pPr>
              <w:pStyle w:val="TableText"/>
              <w:spacing w:before="30" w:after="30"/>
              <w:rPr>
                <w:rFonts w:ascii="Times New Roman" w:hAnsi="Times New Roman"/>
                <w:sz w:val="24"/>
                <w:szCs w:val="24"/>
              </w:rPr>
            </w:pPr>
            <w:r w:rsidRPr="00797E5C">
              <w:t>AUST</w:t>
            </w:r>
          </w:p>
        </w:tc>
      </w:tr>
      <w:tr w:rsidR="00397AB9" w:rsidRPr="00797E5C" w:rsidTr="00397AB9">
        <w:trPr>
          <w:cantSplit/>
        </w:trPr>
        <w:tc>
          <w:tcPr>
            <w:tcW w:w="1915" w:type="dxa"/>
            <w:tcBorders>
              <w:top w:val="single" w:sz="4" w:space="0" w:color="A39892"/>
              <w:left w:val="single" w:sz="4" w:space="0" w:color="A39892"/>
              <w:bottom w:val="nil"/>
              <w:right w:val="single" w:sz="4" w:space="0" w:color="A39892"/>
            </w:tcBorders>
            <w:shd w:val="clear" w:color="auto" w:fill="auto"/>
          </w:tcPr>
          <w:p w:rsidR="00397AB9" w:rsidRPr="00D47479" w:rsidRDefault="00397AB9" w:rsidP="00A42141">
            <w:pPr>
              <w:pStyle w:val="TableText"/>
            </w:pPr>
            <w:r>
              <w:t>In absentia</w:t>
            </w:r>
          </w:p>
        </w:tc>
        <w:tc>
          <w:tcPr>
            <w:tcW w:w="99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397AB9" w:rsidP="00A42141">
            <w:pPr>
              <w:pStyle w:val="TableText"/>
            </w:pPr>
            <w:r>
              <w:t>2017–18</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15</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10</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26</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5</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6</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62</w:t>
            </w:r>
          </w:p>
        </w:tc>
      </w:tr>
      <w:tr w:rsidR="00397AB9" w:rsidRPr="00797E5C" w:rsidTr="00397AB9">
        <w:trPr>
          <w:cantSplit/>
        </w:trPr>
        <w:tc>
          <w:tcPr>
            <w:tcW w:w="1915" w:type="dxa"/>
            <w:tcBorders>
              <w:top w:val="nil"/>
              <w:left w:val="single" w:sz="4" w:space="0" w:color="A39892"/>
              <w:bottom w:val="nil"/>
              <w:right w:val="single" w:sz="4" w:space="0" w:color="A39892"/>
            </w:tcBorders>
            <w:shd w:val="clear" w:color="auto" w:fill="auto"/>
          </w:tcPr>
          <w:p w:rsidR="00397AB9" w:rsidRPr="00D47479" w:rsidRDefault="00397AB9" w:rsidP="00A42141">
            <w:pPr>
              <w:pStyle w:val="TableText"/>
            </w:pPr>
          </w:p>
        </w:tc>
        <w:tc>
          <w:tcPr>
            <w:tcW w:w="99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397AB9" w:rsidP="00A42141">
            <w:pPr>
              <w:pStyle w:val="TableText"/>
            </w:pP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5.5%</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5.6%</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5.7%</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5.2%</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5.8%</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5.6%</w:t>
            </w:r>
          </w:p>
        </w:tc>
      </w:tr>
      <w:tr w:rsidR="00397AB9" w:rsidRPr="00797E5C" w:rsidTr="00397AB9">
        <w:trPr>
          <w:cantSplit/>
        </w:trPr>
        <w:tc>
          <w:tcPr>
            <w:tcW w:w="1915" w:type="dxa"/>
            <w:tcBorders>
              <w:top w:val="nil"/>
              <w:left w:val="single" w:sz="4" w:space="0" w:color="A39892"/>
              <w:bottom w:val="nil"/>
              <w:right w:val="single" w:sz="4" w:space="0" w:color="A39892"/>
            </w:tcBorders>
            <w:shd w:val="clear" w:color="auto" w:fill="auto"/>
          </w:tcPr>
          <w:p w:rsidR="00397AB9" w:rsidRPr="00D47479" w:rsidRDefault="00397AB9" w:rsidP="00A42141">
            <w:pPr>
              <w:pStyle w:val="TableText"/>
            </w:pPr>
          </w:p>
        </w:tc>
        <w:tc>
          <w:tcPr>
            <w:tcW w:w="99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397AB9" w:rsidP="00A42141">
            <w:pPr>
              <w:pStyle w:val="TableText"/>
            </w:pPr>
            <w:r>
              <w:t>2016–17</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12</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13</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31</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4</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8</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68</w:t>
            </w:r>
          </w:p>
        </w:tc>
      </w:tr>
      <w:tr w:rsidR="00397AB9" w:rsidRPr="00797E5C" w:rsidTr="00397AB9">
        <w:trPr>
          <w:cantSplit/>
        </w:trPr>
        <w:tc>
          <w:tcPr>
            <w:tcW w:w="1915" w:type="dxa"/>
            <w:tcBorders>
              <w:top w:val="nil"/>
              <w:left w:val="single" w:sz="4" w:space="0" w:color="A39892"/>
              <w:bottom w:val="single" w:sz="4" w:space="0" w:color="A39892"/>
              <w:right w:val="single" w:sz="4" w:space="0" w:color="A39892"/>
            </w:tcBorders>
            <w:shd w:val="clear" w:color="auto" w:fill="auto"/>
          </w:tcPr>
          <w:p w:rsidR="00397AB9" w:rsidRPr="00D47479" w:rsidRDefault="00397AB9" w:rsidP="00A42141">
            <w:pPr>
              <w:pStyle w:val="TableText"/>
            </w:pPr>
          </w:p>
        </w:tc>
        <w:tc>
          <w:tcPr>
            <w:tcW w:w="99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397AB9" w:rsidP="00A42141">
            <w:pPr>
              <w:pStyle w:val="TableText"/>
            </w:pP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3.6%</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4%</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6.7%</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4.3%</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6.1%</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5.1%</w:t>
            </w:r>
          </w:p>
        </w:tc>
      </w:tr>
      <w:tr w:rsidR="00397AB9" w:rsidRPr="00797E5C" w:rsidTr="00397AB9">
        <w:trPr>
          <w:cantSplit/>
        </w:trPr>
        <w:tc>
          <w:tcPr>
            <w:tcW w:w="1915" w:type="dxa"/>
            <w:tcBorders>
              <w:top w:val="single" w:sz="4" w:space="0" w:color="A39892"/>
              <w:left w:val="single" w:sz="4" w:space="0" w:color="A39892"/>
              <w:bottom w:val="nil"/>
              <w:right w:val="single" w:sz="4" w:space="0" w:color="A39892"/>
            </w:tcBorders>
            <w:shd w:val="clear" w:color="auto" w:fill="auto"/>
          </w:tcPr>
          <w:p w:rsidR="00397AB9" w:rsidRPr="00D47479" w:rsidRDefault="00397AB9" w:rsidP="00A42141">
            <w:pPr>
              <w:pStyle w:val="TableText"/>
            </w:pPr>
            <w:r>
              <w:t>Represented</w:t>
            </w:r>
          </w:p>
        </w:tc>
        <w:tc>
          <w:tcPr>
            <w:tcW w:w="99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397AB9" w:rsidP="00A42141">
            <w:pPr>
              <w:pStyle w:val="TableText"/>
            </w:pPr>
            <w:r>
              <w:t>2017–18</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222</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144</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365</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78</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83</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890</w:t>
            </w:r>
          </w:p>
        </w:tc>
      </w:tr>
      <w:tr w:rsidR="00397AB9" w:rsidRPr="00797E5C" w:rsidTr="00397AB9">
        <w:trPr>
          <w:cantSplit/>
        </w:trPr>
        <w:tc>
          <w:tcPr>
            <w:tcW w:w="1915" w:type="dxa"/>
            <w:tcBorders>
              <w:top w:val="nil"/>
              <w:left w:val="single" w:sz="4" w:space="0" w:color="A39892"/>
              <w:bottom w:val="nil"/>
              <w:right w:val="single" w:sz="4" w:space="0" w:color="A39892"/>
            </w:tcBorders>
            <w:shd w:val="clear" w:color="auto" w:fill="auto"/>
          </w:tcPr>
          <w:p w:rsidR="00397AB9" w:rsidRPr="00D47479" w:rsidRDefault="00397AB9" w:rsidP="00A42141">
            <w:pPr>
              <w:pStyle w:val="TableText"/>
            </w:pPr>
          </w:p>
        </w:tc>
        <w:tc>
          <w:tcPr>
            <w:tcW w:w="99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397AB9" w:rsidP="00A42141">
            <w:pPr>
              <w:pStyle w:val="TableText"/>
            </w:pP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80.7%</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81.4%</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80.2%</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80.4%</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79.8%</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80.3%</w:t>
            </w:r>
          </w:p>
        </w:tc>
      </w:tr>
      <w:tr w:rsidR="00397AB9" w:rsidRPr="00797E5C" w:rsidTr="00397AB9">
        <w:trPr>
          <w:cantSplit/>
        </w:trPr>
        <w:tc>
          <w:tcPr>
            <w:tcW w:w="1915" w:type="dxa"/>
            <w:tcBorders>
              <w:top w:val="nil"/>
              <w:left w:val="single" w:sz="4" w:space="0" w:color="A39892"/>
              <w:bottom w:val="nil"/>
              <w:right w:val="single" w:sz="4" w:space="0" w:color="A39892"/>
            </w:tcBorders>
            <w:shd w:val="clear" w:color="auto" w:fill="auto"/>
          </w:tcPr>
          <w:p w:rsidR="00397AB9" w:rsidRPr="00D47479" w:rsidRDefault="00397AB9" w:rsidP="00A42141">
            <w:pPr>
              <w:pStyle w:val="TableText"/>
            </w:pPr>
          </w:p>
        </w:tc>
        <w:tc>
          <w:tcPr>
            <w:tcW w:w="99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397AB9" w:rsidP="00A42141">
            <w:pPr>
              <w:pStyle w:val="TableText"/>
            </w:pPr>
            <w:r>
              <w:t>2016–17</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295</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287</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385</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74</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111</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1152</w:t>
            </w:r>
          </w:p>
        </w:tc>
      </w:tr>
      <w:tr w:rsidR="00397AB9" w:rsidRPr="00797E5C" w:rsidTr="00397AB9">
        <w:trPr>
          <w:cantSplit/>
        </w:trPr>
        <w:tc>
          <w:tcPr>
            <w:tcW w:w="1915" w:type="dxa"/>
            <w:tcBorders>
              <w:top w:val="nil"/>
              <w:left w:val="single" w:sz="4" w:space="0" w:color="A39892"/>
              <w:bottom w:val="single" w:sz="4" w:space="0" w:color="A39892"/>
              <w:right w:val="single" w:sz="4" w:space="0" w:color="A39892"/>
            </w:tcBorders>
            <w:shd w:val="clear" w:color="auto" w:fill="auto"/>
          </w:tcPr>
          <w:p w:rsidR="00397AB9" w:rsidRPr="00D47479" w:rsidRDefault="00397AB9" w:rsidP="00A42141">
            <w:pPr>
              <w:pStyle w:val="TableText"/>
            </w:pPr>
          </w:p>
        </w:tc>
        <w:tc>
          <w:tcPr>
            <w:tcW w:w="99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397AB9" w:rsidP="00A42141">
            <w:pPr>
              <w:pStyle w:val="TableText"/>
            </w:pP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89.4%</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89.4%</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83.3%</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78.7%</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84.1%</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86%</w:t>
            </w:r>
          </w:p>
        </w:tc>
      </w:tr>
      <w:tr w:rsidR="00397AB9" w:rsidRPr="00797E5C" w:rsidTr="00397AB9">
        <w:trPr>
          <w:cantSplit/>
        </w:trPr>
        <w:tc>
          <w:tcPr>
            <w:tcW w:w="1915" w:type="dxa"/>
            <w:tcBorders>
              <w:top w:val="single" w:sz="4" w:space="0" w:color="A39892"/>
              <w:left w:val="single" w:sz="4" w:space="0" w:color="A39892"/>
              <w:bottom w:val="nil"/>
              <w:right w:val="single" w:sz="4" w:space="0" w:color="A39892"/>
            </w:tcBorders>
            <w:shd w:val="clear" w:color="auto" w:fill="auto"/>
          </w:tcPr>
          <w:p w:rsidR="00397AB9" w:rsidRPr="00D47479" w:rsidRDefault="00397AB9" w:rsidP="00A42141">
            <w:pPr>
              <w:pStyle w:val="TableText"/>
            </w:pPr>
            <w:r>
              <w:t>Unrepresented</w:t>
            </w:r>
          </w:p>
        </w:tc>
        <w:tc>
          <w:tcPr>
            <w:tcW w:w="99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397AB9" w:rsidP="00A42141">
            <w:pPr>
              <w:pStyle w:val="TableText"/>
            </w:pPr>
            <w:r>
              <w:t>2017–18</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38</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23</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64</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14</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15</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156</w:t>
            </w:r>
          </w:p>
        </w:tc>
      </w:tr>
      <w:tr w:rsidR="00397AB9" w:rsidRPr="00797E5C" w:rsidTr="00397AB9">
        <w:trPr>
          <w:cantSplit/>
        </w:trPr>
        <w:tc>
          <w:tcPr>
            <w:tcW w:w="1915" w:type="dxa"/>
            <w:tcBorders>
              <w:top w:val="nil"/>
              <w:left w:val="single" w:sz="4" w:space="0" w:color="A39892"/>
              <w:bottom w:val="nil"/>
              <w:right w:val="single" w:sz="4" w:space="0" w:color="A39892"/>
            </w:tcBorders>
            <w:shd w:val="clear" w:color="auto" w:fill="auto"/>
          </w:tcPr>
          <w:p w:rsidR="00397AB9" w:rsidRPr="00D47479" w:rsidRDefault="00397AB9" w:rsidP="00A42141">
            <w:pPr>
              <w:pStyle w:val="TableText"/>
            </w:pPr>
          </w:p>
        </w:tc>
        <w:tc>
          <w:tcPr>
            <w:tcW w:w="99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397AB9" w:rsidP="00A42141">
            <w:pPr>
              <w:pStyle w:val="TableText"/>
            </w:pP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B97F8B" w:rsidP="00A42141">
            <w:pPr>
              <w:pStyle w:val="TableText"/>
            </w:pPr>
            <w:r>
              <w:t>13.8%</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3C0E06" w:rsidP="00A42141">
            <w:pPr>
              <w:pStyle w:val="TableText"/>
            </w:pPr>
            <w:r>
              <w:t>13%</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3C0E06" w:rsidP="00A42141">
            <w:pPr>
              <w:pStyle w:val="TableText"/>
            </w:pPr>
            <w:r>
              <w:t>14.1%</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3C0E06" w:rsidP="00A42141">
            <w:pPr>
              <w:pStyle w:val="TableText"/>
            </w:pPr>
            <w:r>
              <w:t>14.4%</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3C0E06" w:rsidP="00A42141">
            <w:pPr>
              <w:pStyle w:val="TableText"/>
            </w:pPr>
            <w:r>
              <w:t>14.4%</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3C0E06" w:rsidP="00A42141">
            <w:pPr>
              <w:pStyle w:val="TableText"/>
            </w:pPr>
            <w:r>
              <w:t>14.1%</w:t>
            </w:r>
          </w:p>
        </w:tc>
      </w:tr>
      <w:tr w:rsidR="00397AB9" w:rsidRPr="00797E5C" w:rsidTr="00397AB9">
        <w:trPr>
          <w:cantSplit/>
        </w:trPr>
        <w:tc>
          <w:tcPr>
            <w:tcW w:w="1915" w:type="dxa"/>
            <w:tcBorders>
              <w:top w:val="nil"/>
              <w:left w:val="single" w:sz="4" w:space="0" w:color="A39892"/>
              <w:bottom w:val="nil"/>
              <w:right w:val="single" w:sz="4" w:space="0" w:color="A39892"/>
            </w:tcBorders>
            <w:shd w:val="clear" w:color="auto" w:fill="auto"/>
          </w:tcPr>
          <w:p w:rsidR="00397AB9" w:rsidRPr="00D47479" w:rsidRDefault="00397AB9" w:rsidP="00A42141">
            <w:pPr>
              <w:pStyle w:val="TableText"/>
            </w:pPr>
          </w:p>
        </w:tc>
        <w:tc>
          <w:tcPr>
            <w:tcW w:w="99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397AB9" w:rsidP="00A42141">
            <w:pPr>
              <w:pStyle w:val="TableText"/>
            </w:pPr>
            <w:r>
              <w:t>2016–17</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3C0E06" w:rsidP="00A42141">
            <w:pPr>
              <w:pStyle w:val="TableText"/>
            </w:pPr>
            <w:r>
              <w:t>24</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3C0E06" w:rsidP="00A42141">
            <w:pPr>
              <w:pStyle w:val="TableText"/>
            </w:pPr>
            <w:r>
              <w:t>21</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3C0E06" w:rsidP="00A42141">
            <w:pPr>
              <w:pStyle w:val="TableText"/>
            </w:pPr>
            <w:r>
              <w:t>45</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3C0E06" w:rsidP="00A42141">
            <w:pPr>
              <w:pStyle w:val="TableText"/>
            </w:pPr>
            <w:r>
              <w:t>16</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3C0E06" w:rsidP="00A42141">
            <w:pPr>
              <w:pStyle w:val="TableText"/>
            </w:pPr>
            <w:r>
              <w:t>13</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3C0E06" w:rsidP="00A42141">
            <w:pPr>
              <w:pStyle w:val="TableText"/>
            </w:pPr>
            <w:r>
              <w:t>119</w:t>
            </w:r>
          </w:p>
        </w:tc>
      </w:tr>
      <w:tr w:rsidR="00397AB9" w:rsidRPr="00797E5C" w:rsidTr="00397AB9">
        <w:trPr>
          <w:cantSplit/>
        </w:trPr>
        <w:tc>
          <w:tcPr>
            <w:tcW w:w="1915" w:type="dxa"/>
            <w:tcBorders>
              <w:top w:val="nil"/>
              <w:left w:val="single" w:sz="4" w:space="0" w:color="A39892"/>
              <w:bottom w:val="single" w:sz="4" w:space="0" w:color="A39892"/>
              <w:right w:val="single" w:sz="4" w:space="0" w:color="A39892"/>
            </w:tcBorders>
            <w:shd w:val="clear" w:color="auto" w:fill="auto"/>
          </w:tcPr>
          <w:p w:rsidR="00397AB9" w:rsidRPr="00D47479" w:rsidRDefault="00397AB9" w:rsidP="00A42141">
            <w:pPr>
              <w:pStyle w:val="TableText"/>
            </w:pPr>
          </w:p>
        </w:tc>
        <w:tc>
          <w:tcPr>
            <w:tcW w:w="99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397AB9" w:rsidP="00A42141">
            <w:pPr>
              <w:pStyle w:val="TableText"/>
            </w:pP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3C0E06" w:rsidP="00A42141">
            <w:pPr>
              <w:pStyle w:val="TableText"/>
            </w:pPr>
            <w:r>
              <w:t>7.3%</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3C0E06" w:rsidP="00A42141">
            <w:pPr>
              <w:pStyle w:val="TableText"/>
            </w:pPr>
            <w:r>
              <w:t>6.5%</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3C0E06" w:rsidP="00A42141">
            <w:pPr>
              <w:pStyle w:val="TableText"/>
            </w:pPr>
            <w:r>
              <w:t>9.7%</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3C0E06" w:rsidP="00A42141">
            <w:pPr>
              <w:pStyle w:val="TableText"/>
            </w:pPr>
            <w:r>
              <w:t>17%</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3C0E06" w:rsidP="00A42141">
            <w:pPr>
              <w:pStyle w:val="TableText"/>
            </w:pPr>
            <w:r>
              <w:t>9.8%</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3C0E06" w:rsidP="00A42141">
            <w:pPr>
              <w:pStyle w:val="TableText"/>
            </w:pPr>
            <w:r>
              <w:t>8.9%</w:t>
            </w:r>
          </w:p>
        </w:tc>
      </w:tr>
      <w:tr w:rsidR="00397AB9" w:rsidRPr="00797E5C" w:rsidTr="00397AB9">
        <w:trPr>
          <w:cantSplit/>
        </w:trPr>
        <w:tc>
          <w:tcPr>
            <w:tcW w:w="1915" w:type="dxa"/>
            <w:tcBorders>
              <w:top w:val="single" w:sz="4" w:space="0" w:color="A39892"/>
              <w:left w:val="single" w:sz="4" w:space="0" w:color="A39892"/>
              <w:bottom w:val="nil"/>
              <w:right w:val="single" w:sz="4" w:space="0" w:color="A39892"/>
            </w:tcBorders>
            <w:shd w:val="clear" w:color="auto" w:fill="auto"/>
          </w:tcPr>
          <w:p w:rsidR="00397AB9" w:rsidRPr="00D47479" w:rsidRDefault="00397AB9" w:rsidP="00A42141">
            <w:pPr>
              <w:pStyle w:val="TableText"/>
            </w:pPr>
            <w:r>
              <w:t>Total heard</w:t>
            </w:r>
          </w:p>
        </w:tc>
        <w:tc>
          <w:tcPr>
            <w:tcW w:w="99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397AB9" w:rsidP="00A42141">
            <w:pPr>
              <w:pStyle w:val="TableText"/>
            </w:pPr>
            <w:r>
              <w:t>2017–18</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3C0E06" w:rsidP="00A42141">
            <w:pPr>
              <w:pStyle w:val="TableText"/>
            </w:pPr>
            <w:r>
              <w:t>275</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3C0E06" w:rsidP="00A42141">
            <w:pPr>
              <w:pStyle w:val="TableText"/>
            </w:pPr>
            <w:r>
              <w:t>177</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3C0E06" w:rsidP="00A42141">
            <w:pPr>
              <w:pStyle w:val="TableText"/>
            </w:pPr>
            <w:r>
              <w:t>455</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3C0E06" w:rsidP="00A42141">
            <w:pPr>
              <w:pStyle w:val="TableText"/>
            </w:pPr>
            <w:r>
              <w:t>97</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3C0E06" w:rsidP="00A42141">
            <w:pPr>
              <w:pStyle w:val="TableText"/>
            </w:pPr>
            <w:r>
              <w:t>104</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3C0E06" w:rsidP="00A42141">
            <w:pPr>
              <w:pStyle w:val="TableText"/>
            </w:pPr>
            <w:r>
              <w:t>1108</w:t>
            </w:r>
          </w:p>
        </w:tc>
      </w:tr>
      <w:tr w:rsidR="00397AB9" w:rsidRPr="00797E5C" w:rsidTr="00397AB9">
        <w:trPr>
          <w:cantSplit/>
        </w:trPr>
        <w:tc>
          <w:tcPr>
            <w:tcW w:w="1915" w:type="dxa"/>
            <w:tcBorders>
              <w:top w:val="nil"/>
              <w:left w:val="single" w:sz="4" w:space="0" w:color="A39892"/>
              <w:bottom w:val="single" w:sz="4" w:space="0" w:color="A39892"/>
              <w:right w:val="single" w:sz="4" w:space="0" w:color="A39892"/>
            </w:tcBorders>
            <w:shd w:val="clear" w:color="auto" w:fill="auto"/>
          </w:tcPr>
          <w:p w:rsidR="00397AB9" w:rsidRPr="00D47479" w:rsidRDefault="00397AB9" w:rsidP="00A42141">
            <w:pPr>
              <w:pStyle w:val="TableText"/>
            </w:pPr>
          </w:p>
        </w:tc>
        <w:tc>
          <w:tcPr>
            <w:tcW w:w="99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397AB9" w:rsidP="00A42141">
            <w:pPr>
              <w:pStyle w:val="TableText"/>
            </w:pPr>
            <w:r>
              <w:t>2016–17</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3C0E06" w:rsidP="00A42141">
            <w:pPr>
              <w:pStyle w:val="TableText"/>
            </w:pPr>
            <w:r>
              <w:t>330</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3C0E06" w:rsidP="00A42141">
            <w:pPr>
              <w:pStyle w:val="TableText"/>
            </w:pPr>
            <w:r>
              <w:t>321</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3C0E06" w:rsidP="00A42141">
            <w:pPr>
              <w:pStyle w:val="TableText"/>
            </w:pPr>
            <w:r>
              <w:t>462</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3C0E06" w:rsidP="00A42141">
            <w:pPr>
              <w:pStyle w:val="TableText"/>
            </w:pPr>
            <w:r>
              <w:t>94</w:t>
            </w:r>
          </w:p>
        </w:tc>
        <w:tc>
          <w:tcPr>
            <w:tcW w:w="840"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3C0E06" w:rsidP="00A42141">
            <w:pPr>
              <w:pStyle w:val="TableText"/>
            </w:pPr>
            <w:r>
              <w:t>132</w:t>
            </w:r>
          </w:p>
        </w:tc>
        <w:tc>
          <w:tcPr>
            <w:tcW w:w="841" w:type="dxa"/>
            <w:tcBorders>
              <w:top w:val="single" w:sz="4" w:space="0" w:color="A39892"/>
              <w:left w:val="single" w:sz="4" w:space="0" w:color="A39892"/>
              <w:bottom w:val="single" w:sz="4" w:space="0" w:color="A39892"/>
              <w:right w:val="single" w:sz="4" w:space="0" w:color="A39892"/>
            </w:tcBorders>
            <w:shd w:val="clear" w:color="auto" w:fill="auto"/>
          </w:tcPr>
          <w:p w:rsidR="00397AB9" w:rsidRPr="00D47479" w:rsidRDefault="003C0E06" w:rsidP="00A42141">
            <w:pPr>
              <w:pStyle w:val="TableText"/>
            </w:pPr>
            <w:r>
              <w:t>1339</w:t>
            </w:r>
          </w:p>
        </w:tc>
      </w:tr>
    </w:tbl>
    <w:p w:rsidR="0065062A" w:rsidRDefault="0065062A" w:rsidP="0065062A"/>
    <w:p w:rsidR="003C0E06" w:rsidRDefault="00017660" w:rsidP="00017660">
      <w:r>
        <w:t>The great majority of all applicants (80.3 per cent) are represented at hearings in some way. A small proportion (5.6 per cent) of applicants who have ‘in absentia’ hearings are represented, but both the applicant and the representative have chosen not to participate at the hearing. The representatives in those cases sometimes provide written submissions to the VRB.</w:t>
      </w:r>
    </w:p>
    <w:p w:rsidR="00017660" w:rsidRDefault="00677865" w:rsidP="00677865">
      <w:pPr>
        <w:pStyle w:val="FigureName"/>
      </w:pPr>
      <w:r w:rsidRPr="00677865">
        <w:lastRenderedPageBreak/>
        <w:t>Graph 4.1: Representation at all hearings</w:t>
      </w:r>
    </w:p>
    <w:p w:rsidR="00677865" w:rsidRDefault="007D144E" w:rsidP="00677865">
      <w:pPr>
        <w:pStyle w:val="FigurePara"/>
      </w:pPr>
      <w:r>
        <w:br/>
      </w:r>
      <w:r>
        <w:rPr>
          <w:noProof/>
          <w:lang w:eastAsia="en-AU"/>
        </w:rPr>
        <w:drawing>
          <wp:inline distT="0" distB="0" distL="0" distR="0" wp14:anchorId="6CAA9A40" wp14:editId="67EC8AA6">
            <wp:extent cx="4846320" cy="3086648"/>
            <wp:effectExtent l="0" t="0" r="0" b="0"/>
            <wp:docPr id="40" name="Picture 40" descr="Graph 4.1: Representation at all hea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P Plus\Docs\DVA\Veterans' Review Board\Annual Report 2017-18\sourcedocs\Graph 4.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46320" cy="3086648"/>
                    </a:xfrm>
                    <a:prstGeom prst="rect">
                      <a:avLst/>
                    </a:prstGeom>
                    <a:noFill/>
                    <a:ln>
                      <a:noFill/>
                    </a:ln>
                  </pic:spPr>
                </pic:pic>
              </a:graphicData>
            </a:graphic>
          </wp:inline>
        </w:drawing>
      </w:r>
    </w:p>
    <w:p w:rsidR="00677865" w:rsidRDefault="00677865" w:rsidP="00677865">
      <w:pPr>
        <w:pStyle w:val="FigureName"/>
      </w:pPr>
      <w:r w:rsidRPr="00677865">
        <w:t>Graph 4.2: Representation at hearings nationally 2017–18</w:t>
      </w:r>
    </w:p>
    <w:p w:rsidR="00677865" w:rsidRDefault="007D144E" w:rsidP="007D144E">
      <w:pPr>
        <w:pStyle w:val="FigurePara"/>
        <w:jc w:val="center"/>
      </w:pPr>
      <w:r>
        <w:rPr>
          <w:noProof/>
          <w:lang w:eastAsia="en-AU"/>
        </w:rPr>
        <w:drawing>
          <wp:inline distT="0" distB="0" distL="0" distR="0" wp14:anchorId="788FF6D1" wp14:editId="45FC9B13">
            <wp:extent cx="2534285" cy="2266315"/>
            <wp:effectExtent l="0" t="0" r="0" b="635"/>
            <wp:docPr id="41" name="Picture 41" descr="Graph 4.2: Representation at hearings nationally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P Plus\Docs\DVA\Veterans' Review Board\Annual Report 2017-18\sourcedocs\Graph 4.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34285" cy="2266315"/>
                    </a:xfrm>
                    <a:prstGeom prst="rect">
                      <a:avLst/>
                    </a:prstGeom>
                    <a:noFill/>
                    <a:ln>
                      <a:noFill/>
                    </a:ln>
                  </pic:spPr>
                </pic:pic>
              </a:graphicData>
            </a:graphic>
          </wp:inline>
        </w:drawing>
      </w:r>
    </w:p>
    <w:p w:rsidR="00467D87" w:rsidRDefault="00467D87" w:rsidP="00467D87">
      <w:pPr>
        <w:keepLines/>
      </w:pPr>
      <w:r>
        <w:lastRenderedPageBreak/>
        <w:t>There are several ways that applicants and their representative can participate at hearings: one or both can have a telephone hearing, or one or both can appear in person. Combinations of applicant and representative participation are also possible. In addition, in 2000-01, the VRB undertook a trial of video hearings</w:t>
      </w:r>
      <w:r w:rsidR="004A74AE">
        <w:fldChar w:fldCharType="begin"/>
      </w:r>
      <w:r w:rsidR="004A74AE">
        <w:instrText xml:space="preserve"> XE "</w:instrText>
      </w:r>
      <w:r w:rsidR="004A74AE" w:rsidRPr="002D7689">
        <w:instrText>video hearings</w:instrText>
      </w:r>
      <w:r w:rsidR="004A74AE">
        <w:instrText xml:space="preserve">" </w:instrText>
      </w:r>
      <w:r w:rsidR="004A74AE">
        <w:fldChar w:fldCharType="end"/>
      </w:r>
      <w:r>
        <w:t xml:space="preserve"> to enhance its service to applicants in regional areas. The number of video hearings has varied but has become a popular method of hearing cases with some representatives</w:t>
      </w:r>
      <w:r w:rsidR="0005789C">
        <w:fldChar w:fldCharType="begin"/>
      </w:r>
      <w:r w:rsidR="0005789C">
        <w:instrText xml:space="preserve"> XE "</w:instrText>
      </w:r>
      <w:r w:rsidR="0005789C" w:rsidRPr="002D7689">
        <w:instrText>representatives</w:instrText>
      </w:r>
      <w:r w:rsidR="0005789C">
        <w:instrText xml:space="preserve">" </w:instrText>
      </w:r>
      <w:r w:rsidR="0005789C">
        <w:fldChar w:fldCharType="end"/>
      </w:r>
      <w:r>
        <w:t xml:space="preserve"> in Queensland. The provision of video hearings is a useful additional means of providing hearings on a timely basis for applicants in regional areas. The VRB remains committed to conducting regional hearings while there are sufficient cases available in those areas. However, video conferencing enables some applications to be heard sooner as the VRB does not have to wait for other applications in that region to be ready for hearing.</w:t>
      </w:r>
    </w:p>
    <w:bookmarkEnd w:id="23"/>
    <w:p w:rsidR="00467D87" w:rsidRDefault="00467D87" w:rsidP="00467D87">
      <w:pPr>
        <w:pStyle w:val="Heading3"/>
      </w:pPr>
      <w:r>
        <w:t>Regional Hearings</w:t>
      </w:r>
      <w:r w:rsidR="001D1DCA">
        <w:fldChar w:fldCharType="begin"/>
      </w:r>
      <w:r w:rsidR="001D1DCA">
        <w:instrText xml:space="preserve"> XE "</w:instrText>
      </w:r>
      <w:r w:rsidR="001D1DCA" w:rsidRPr="002D7689">
        <w:instrText>regional hearings</w:instrText>
      </w:r>
      <w:r w:rsidR="001D1DCA">
        <w:instrText xml:space="preserve">" </w:instrText>
      </w:r>
      <w:r w:rsidR="001D1DCA">
        <w:fldChar w:fldCharType="end"/>
      </w:r>
    </w:p>
    <w:p w:rsidR="00677865" w:rsidRDefault="00467D87" w:rsidP="00467D87">
      <w:r>
        <w:t>During 2017–18 regional hearings were arranged in the Gold Coast, Canberra, Hobart and Launceston. Table 11 and Graph 5.3 show the number of days of hearings, and applications heard in the above locations.</w:t>
      </w:r>
    </w:p>
    <w:tbl>
      <w:tblPr>
        <w:tblStyle w:val="TableGrid"/>
        <w:tblW w:w="5000" w:type="pct"/>
        <w:tblBorders>
          <w:top w:val="single" w:sz="4" w:space="0" w:color="A39892"/>
          <w:left w:val="single" w:sz="4" w:space="0" w:color="A39892"/>
          <w:bottom w:val="single" w:sz="4" w:space="0" w:color="A39892"/>
          <w:right w:val="single" w:sz="4" w:space="0" w:color="A39892"/>
          <w:insideH w:val="single" w:sz="4" w:space="0" w:color="A39892"/>
          <w:insideV w:val="single" w:sz="4" w:space="0" w:color="A39892"/>
        </w:tblBorders>
        <w:tblLayout w:type="fixed"/>
        <w:tblCellMar>
          <w:left w:w="115" w:type="dxa"/>
          <w:right w:w="115" w:type="dxa"/>
        </w:tblCellMar>
        <w:tblLook w:val="04A0" w:firstRow="1" w:lastRow="0" w:firstColumn="1" w:lastColumn="0" w:noHBand="0" w:noVBand="1"/>
      </w:tblPr>
      <w:tblGrid>
        <w:gridCol w:w="2365"/>
        <w:gridCol w:w="1861"/>
        <w:gridCol w:w="1861"/>
        <w:gridCol w:w="1861"/>
      </w:tblGrid>
      <w:tr w:rsidR="00467D87" w:rsidTr="00A42141">
        <w:trPr>
          <w:cantSplit/>
        </w:trPr>
        <w:tc>
          <w:tcPr>
            <w:tcW w:w="7948" w:type="dxa"/>
            <w:gridSpan w:val="4"/>
            <w:tcBorders>
              <w:bottom w:val="single" w:sz="4" w:space="0" w:color="A39892"/>
            </w:tcBorders>
            <w:shd w:val="clear" w:color="auto" w:fill="A39892"/>
          </w:tcPr>
          <w:p w:rsidR="00467D87" w:rsidRDefault="00467D87" w:rsidP="00467D87">
            <w:pPr>
              <w:pStyle w:val="TableName"/>
            </w:pPr>
            <w:r>
              <w:t>Table 10: Regional hearings</w:t>
            </w:r>
          </w:p>
        </w:tc>
      </w:tr>
      <w:tr w:rsidR="00467D87" w:rsidRPr="00467D87" w:rsidTr="00467D87">
        <w:trPr>
          <w:cantSplit/>
        </w:trPr>
        <w:tc>
          <w:tcPr>
            <w:tcW w:w="2365" w:type="dxa"/>
            <w:tcBorders>
              <w:bottom w:val="single" w:sz="4" w:space="0" w:color="A39892"/>
            </w:tcBorders>
            <w:shd w:val="clear" w:color="auto" w:fill="C6BDB6"/>
          </w:tcPr>
          <w:p w:rsidR="00467D87" w:rsidRPr="00467D87" w:rsidRDefault="00467D87" w:rsidP="00467D87">
            <w:pPr>
              <w:pStyle w:val="TableText"/>
              <w:rPr>
                <w:b/>
              </w:rPr>
            </w:pPr>
          </w:p>
        </w:tc>
        <w:tc>
          <w:tcPr>
            <w:tcW w:w="1861" w:type="dxa"/>
            <w:shd w:val="clear" w:color="auto" w:fill="C6BDB6"/>
          </w:tcPr>
          <w:p w:rsidR="00467D87" w:rsidRPr="00467D87" w:rsidRDefault="00467D87" w:rsidP="00467D87">
            <w:pPr>
              <w:pStyle w:val="TableText"/>
              <w:rPr>
                <w:b/>
              </w:rPr>
            </w:pPr>
            <w:r w:rsidRPr="00467D87">
              <w:rPr>
                <w:b/>
              </w:rPr>
              <w:t>Year</w:t>
            </w:r>
          </w:p>
        </w:tc>
        <w:tc>
          <w:tcPr>
            <w:tcW w:w="1861" w:type="dxa"/>
            <w:shd w:val="clear" w:color="auto" w:fill="C6BDB6"/>
          </w:tcPr>
          <w:p w:rsidR="00467D87" w:rsidRPr="00467D87" w:rsidRDefault="00467D87" w:rsidP="00467D87">
            <w:pPr>
              <w:pStyle w:val="TableText"/>
              <w:rPr>
                <w:b/>
              </w:rPr>
            </w:pPr>
            <w:r w:rsidRPr="00467D87">
              <w:rPr>
                <w:b/>
              </w:rPr>
              <w:t>Days</w:t>
            </w:r>
          </w:p>
        </w:tc>
        <w:tc>
          <w:tcPr>
            <w:tcW w:w="1861" w:type="dxa"/>
            <w:shd w:val="clear" w:color="auto" w:fill="C6BDB6"/>
          </w:tcPr>
          <w:p w:rsidR="00467D87" w:rsidRPr="00467D87" w:rsidRDefault="00467D87" w:rsidP="00467D87">
            <w:pPr>
              <w:pStyle w:val="TableText"/>
              <w:rPr>
                <w:b/>
              </w:rPr>
            </w:pPr>
            <w:r w:rsidRPr="00467D87">
              <w:rPr>
                <w:b/>
              </w:rPr>
              <w:t>Applications</w:t>
            </w:r>
          </w:p>
        </w:tc>
      </w:tr>
      <w:tr w:rsidR="00467D87" w:rsidTr="00467D87">
        <w:trPr>
          <w:cantSplit/>
        </w:trPr>
        <w:tc>
          <w:tcPr>
            <w:tcW w:w="2365" w:type="dxa"/>
            <w:tcBorders>
              <w:bottom w:val="nil"/>
            </w:tcBorders>
          </w:tcPr>
          <w:p w:rsidR="00467D87" w:rsidRDefault="00467D87" w:rsidP="00467D87">
            <w:pPr>
              <w:pStyle w:val="TableText"/>
            </w:pPr>
            <w:r>
              <w:t>Gold Coast</w:t>
            </w:r>
          </w:p>
        </w:tc>
        <w:tc>
          <w:tcPr>
            <w:tcW w:w="1861" w:type="dxa"/>
          </w:tcPr>
          <w:p w:rsidR="00467D87" w:rsidRDefault="00467D87" w:rsidP="00467D87">
            <w:pPr>
              <w:pStyle w:val="TableText"/>
            </w:pPr>
            <w:r>
              <w:t>2017–18</w:t>
            </w:r>
          </w:p>
        </w:tc>
        <w:tc>
          <w:tcPr>
            <w:tcW w:w="1861" w:type="dxa"/>
          </w:tcPr>
          <w:p w:rsidR="00467D87" w:rsidRDefault="00467D87" w:rsidP="00467D87">
            <w:pPr>
              <w:pStyle w:val="TableText"/>
            </w:pPr>
            <w:r>
              <w:t>3</w:t>
            </w:r>
          </w:p>
        </w:tc>
        <w:tc>
          <w:tcPr>
            <w:tcW w:w="1861" w:type="dxa"/>
          </w:tcPr>
          <w:p w:rsidR="00467D87" w:rsidRDefault="00467D87" w:rsidP="00467D87">
            <w:pPr>
              <w:pStyle w:val="TableText"/>
            </w:pPr>
            <w:r>
              <w:t>7</w:t>
            </w:r>
          </w:p>
        </w:tc>
      </w:tr>
      <w:tr w:rsidR="00467D87" w:rsidTr="00467D87">
        <w:trPr>
          <w:cantSplit/>
        </w:trPr>
        <w:tc>
          <w:tcPr>
            <w:tcW w:w="2365" w:type="dxa"/>
            <w:tcBorders>
              <w:top w:val="nil"/>
              <w:bottom w:val="single" w:sz="4" w:space="0" w:color="A39892"/>
            </w:tcBorders>
          </w:tcPr>
          <w:p w:rsidR="00467D87" w:rsidRDefault="00467D87" w:rsidP="00467D87">
            <w:pPr>
              <w:pStyle w:val="TableText"/>
            </w:pPr>
          </w:p>
        </w:tc>
        <w:tc>
          <w:tcPr>
            <w:tcW w:w="1861" w:type="dxa"/>
          </w:tcPr>
          <w:p w:rsidR="00467D87" w:rsidRDefault="00467D87" w:rsidP="00467D87">
            <w:pPr>
              <w:pStyle w:val="TableText"/>
            </w:pPr>
            <w:r>
              <w:t>2016–17</w:t>
            </w:r>
          </w:p>
        </w:tc>
        <w:tc>
          <w:tcPr>
            <w:tcW w:w="1861" w:type="dxa"/>
          </w:tcPr>
          <w:p w:rsidR="00467D87" w:rsidRDefault="00467D87" w:rsidP="00467D87">
            <w:pPr>
              <w:pStyle w:val="TableText"/>
            </w:pPr>
            <w:r>
              <w:t>19</w:t>
            </w:r>
          </w:p>
        </w:tc>
        <w:tc>
          <w:tcPr>
            <w:tcW w:w="1861" w:type="dxa"/>
          </w:tcPr>
          <w:p w:rsidR="00467D87" w:rsidRDefault="00467D87" w:rsidP="00467D87">
            <w:pPr>
              <w:pStyle w:val="TableText"/>
            </w:pPr>
            <w:r>
              <w:t>53</w:t>
            </w:r>
          </w:p>
        </w:tc>
      </w:tr>
      <w:tr w:rsidR="00467D87" w:rsidTr="00467D87">
        <w:trPr>
          <w:cantSplit/>
        </w:trPr>
        <w:tc>
          <w:tcPr>
            <w:tcW w:w="2365" w:type="dxa"/>
            <w:tcBorders>
              <w:bottom w:val="nil"/>
            </w:tcBorders>
          </w:tcPr>
          <w:p w:rsidR="00467D87" w:rsidRDefault="00467D87" w:rsidP="00467D87">
            <w:pPr>
              <w:pStyle w:val="TableText"/>
            </w:pPr>
            <w:r>
              <w:t>Canberra</w:t>
            </w:r>
          </w:p>
        </w:tc>
        <w:tc>
          <w:tcPr>
            <w:tcW w:w="1861" w:type="dxa"/>
          </w:tcPr>
          <w:p w:rsidR="00467D87" w:rsidRDefault="00467D87" w:rsidP="00467D87">
            <w:pPr>
              <w:pStyle w:val="TableText"/>
            </w:pPr>
            <w:r>
              <w:t>2017–18</w:t>
            </w:r>
          </w:p>
        </w:tc>
        <w:tc>
          <w:tcPr>
            <w:tcW w:w="1861" w:type="dxa"/>
          </w:tcPr>
          <w:p w:rsidR="00467D87" w:rsidRDefault="00467D87" w:rsidP="00467D87">
            <w:pPr>
              <w:pStyle w:val="TableText"/>
            </w:pPr>
            <w:r>
              <w:t>13</w:t>
            </w:r>
          </w:p>
        </w:tc>
        <w:tc>
          <w:tcPr>
            <w:tcW w:w="1861" w:type="dxa"/>
          </w:tcPr>
          <w:p w:rsidR="00467D87" w:rsidRDefault="00467D87" w:rsidP="00467D87">
            <w:pPr>
              <w:pStyle w:val="TableText"/>
            </w:pPr>
            <w:r>
              <w:t>36</w:t>
            </w:r>
          </w:p>
        </w:tc>
      </w:tr>
      <w:tr w:rsidR="00467D87" w:rsidTr="00467D87">
        <w:trPr>
          <w:cantSplit/>
        </w:trPr>
        <w:tc>
          <w:tcPr>
            <w:tcW w:w="2365" w:type="dxa"/>
            <w:tcBorders>
              <w:top w:val="nil"/>
              <w:bottom w:val="single" w:sz="4" w:space="0" w:color="A39892"/>
            </w:tcBorders>
          </w:tcPr>
          <w:p w:rsidR="00467D87" w:rsidRDefault="00467D87" w:rsidP="00467D87">
            <w:pPr>
              <w:pStyle w:val="TableText"/>
            </w:pPr>
          </w:p>
        </w:tc>
        <w:tc>
          <w:tcPr>
            <w:tcW w:w="1861" w:type="dxa"/>
          </w:tcPr>
          <w:p w:rsidR="00467D87" w:rsidRDefault="00467D87" w:rsidP="00467D87">
            <w:pPr>
              <w:pStyle w:val="TableText"/>
            </w:pPr>
            <w:r>
              <w:t>2016–17</w:t>
            </w:r>
          </w:p>
        </w:tc>
        <w:tc>
          <w:tcPr>
            <w:tcW w:w="1861" w:type="dxa"/>
          </w:tcPr>
          <w:p w:rsidR="00467D87" w:rsidRDefault="00467D87" w:rsidP="00467D87">
            <w:pPr>
              <w:pStyle w:val="TableText"/>
            </w:pPr>
            <w:r>
              <w:t>11</w:t>
            </w:r>
          </w:p>
        </w:tc>
        <w:tc>
          <w:tcPr>
            <w:tcW w:w="1861" w:type="dxa"/>
          </w:tcPr>
          <w:p w:rsidR="00467D87" w:rsidRDefault="00467D87" w:rsidP="00467D87">
            <w:pPr>
              <w:pStyle w:val="TableText"/>
            </w:pPr>
            <w:r>
              <w:t>23</w:t>
            </w:r>
          </w:p>
        </w:tc>
      </w:tr>
      <w:tr w:rsidR="00467D87" w:rsidTr="00467D87">
        <w:trPr>
          <w:cantSplit/>
        </w:trPr>
        <w:tc>
          <w:tcPr>
            <w:tcW w:w="2365" w:type="dxa"/>
            <w:tcBorders>
              <w:bottom w:val="nil"/>
            </w:tcBorders>
          </w:tcPr>
          <w:p w:rsidR="00467D87" w:rsidRDefault="00467D87" w:rsidP="00467D87">
            <w:pPr>
              <w:pStyle w:val="TableText"/>
            </w:pPr>
            <w:r>
              <w:t>Tasmania</w:t>
            </w:r>
          </w:p>
        </w:tc>
        <w:tc>
          <w:tcPr>
            <w:tcW w:w="1861" w:type="dxa"/>
          </w:tcPr>
          <w:p w:rsidR="00467D87" w:rsidRDefault="00467D87" w:rsidP="00467D87">
            <w:pPr>
              <w:pStyle w:val="TableText"/>
            </w:pPr>
            <w:r>
              <w:t>2017–18</w:t>
            </w:r>
          </w:p>
        </w:tc>
        <w:tc>
          <w:tcPr>
            <w:tcW w:w="1861" w:type="dxa"/>
          </w:tcPr>
          <w:p w:rsidR="00467D87" w:rsidRDefault="00467D87" w:rsidP="00467D87">
            <w:pPr>
              <w:pStyle w:val="TableText"/>
            </w:pPr>
            <w:r>
              <w:t>14</w:t>
            </w:r>
          </w:p>
        </w:tc>
        <w:tc>
          <w:tcPr>
            <w:tcW w:w="1861" w:type="dxa"/>
          </w:tcPr>
          <w:p w:rsidR="00467D87" w:rsidRDefault="00467D87" w:rsidP="00467D87">
            <w:pPr>
              <w:pStyle w:val="TableText"/>
            </w:pPr>
            <w:r>
              <w:t>36</w:t>
            </w:r>
          </w:p>
        </w:tc>
      </w:tr>
      <w:tr w:rsidR="00467D87" w:rsidTr="00467D87">
        <w:trPr>
          <w:cantSplit/>
        </w:trPr>
        <w:tc>
          <w:tcPr>
            <w:tcW w:w="2365" w:type="dxa"/>
            <w:tcBorders>
              <w:top w:val="nil"/>
              <w:bottom w:val="single" w:sz="4" w:space="0" w:color="A39892"/>
            </w:tcBorders>
          </w:tcPr>
          <w:p w:rsidR="00467D87" w:rsidRDefault="00467D87" w:rsidP="00467D87">
            <w:pPr>
              <w:pStyle w:val="TableText"/>
            </w:pPr>
          </w:p>
        </w:tc>
        <w:tc>
          <w:tcPr>
            <w:tcW w:w="1861" w:type="dxa"/>
          </w:tcPr>
          <w:p w:rsidR="00467D87" w:rsidRDefault="00467D87" w:rsidP="00467D87">
            <w:pPr>
              <w:pStyle w:val="TableText"/>
            </w:pPr>
            <w:r>
              <w:t>2016–17</w:t>
            </w:r>
          </w:p>
        </w:tc>
        <w:tc>
          <w:tcPr>
            <w:tcW w:w="1861" w:type="dxa"/>
          </w:tcPr>
          <w:p w:rsidR="00467D87" w:rsidRDefault="00467D87" w:rsidP="00467D87">
            <w:pPr>
              <w:pStyle w:val="TableText"/>
            </w:pPr>
            <w:r>
              <w:t>12</w:t>
            </w:r>
          </w:p>
        </w:tc>
        <w:tc>
          <w:tcPr>
            <w:tcW w:w="1861" w:type="dxa"/>
          </w:tcPr>
          <w:p w:rsidR="00467D87" w:rsidRDefault="00467D87" w:rsidP="00467D87">
            <w:pPr>
              <w:pStyle w:val="TableText"/>
            </w:pPr>
            <w:r>
              <w:t>35</w:t>
            </w:r>
          </w:p>
        </w:tc>
      </w:tr>
      <w:tr w:rsidR="00467D87" w:rsidTr="00467D87">
        <w:trPr>
          <w:cantSplit/>
        </w:trPr>
        <w:tc>
          <w:tcPr>
            <w:tcW w:w="2365" w:type="dxa"/>
            <w:tcBorders>
              <w:bottom w:val="nil"/>
            </w:tcBorders>
          </w:tcPr>
          <w:p w:rsidR="00467D87" w:rsidRDefault="00467D87" w:rsidP="00467D87">
            <w:pPr>
              <w:pStyle w:val="TableText"/>
            </w:pPr>
            <w:r>
              <w:t>Total</w:t>
            </w:r>
          </w:p>
        </w:tc>
        <w:tc>
          <w:tcPr>
            <w:tcW w:w="1861" w:type="dxa"/>
          </w:tcPr>
          <w:p w:rsidR="00467D87" w:rsidRDefault="00467D87" w:rsidP="00467D87">
            <w:pPr>
              <w:pStyle w:val="TableText"/>
            </w:pPr>
            <w:r>
              <w:t>2017–18</w:t>
            </w:r>
          </w:p>
        </w:tc>
        <w:tc>
          <w:tcPr>
            <w:tcW w:w="1861" w:type="dxa"/>
          </w:tcPr>
          <w:p w:rsidR="00467D87" w:rsidRDefault="00467D87" w:rsidP="00467D87">
            <w:pPr>
              <w:pStyle w:val="TableText"/>
            </w:pPr>
            <w:r>
              <w:t>30</w:t>
            </w:r>
          </w:p>
        </w:tc>
        <w:tc>
          <w:tcPr>
            <w:tcW w:w="1861" w:type="dxa"/>
          </w:tcPr>
          <w:p w:rsidR="00467D87" w:rsidRDefault="00467D87" w:rsidP="00467D87">
            <w:pPr>
              <w:pStyle w:val="TableText"/>
            </w:pPr>
            <w:r>
              <w:t>79</w:t>
            </w:r>
          </w:p>
        </w:tc>
      </w:tr>
      <w:tr w:rsidR="00467D87" w:rsidTr="00467D87">
        <w:trPr>
          <w:cantSplit/>
        </w:trPr>
        <w:tc>
          <w:tcPr>
            <w:tcW w:w="2365" w:type="dxa"/>
            <w:tcBorders>
              <w:top w:val="nil"/>
            </w:tcBorders>
          </w:tcPr>
          <w:p w:rsidR="00467D87" w:rsidRDefault="00467D87" w:rsidP="00467D87">
            <w:pPr>
              <w:pStyle w:val="TableText"/>
            </w:pPr>
          </w:p>
        </w:tc>
        <w:tc>
          <w:tcPr>
            <w:tcW w:w="1861" w:type="dxa"/>
          </w:tcPr>
          <w:p w:rsidR="00467D87" w:rsidRDefault="00467D87" w:rsidP="00467D87">
            <w:pPr>
              <w:pStyle w:val="TableText"/>
            </w:pPr>
            <w:r>
              <w:t>2016–17</w:t>
            </w:r>
          </w:p>
        </w:tc>
        <w:tc>
          <w:tcPr>
            <w:tcW w:w="1861" w:type="dxa"/>
          </w:tcPr>
          <w:p w:rsidR="00467D87" w:rsidRDefault="00467D87" w:rsidP="00467D87">
            <w:pPr>
              <w:pStyle w:val="TableText"/>
            </w:pPr>
            <w:r>
              <w:t>42</w:t>
            </w:r>
          </w:p>
        </w:tc>
        <w:tc>
          <w:tcPr>
            <w:tcW w:w="1861" w:type="dxa"/>
          </w:tcPr>
          <w:p w:rsidR="00467D87" w:rsidRDefault="00467D87" w:rsidP="00467D87">
            <w:pPr>
              <w:pStyle w:val="TableText"/>
            </w:pPr>
            <w:r>
              <w:t>111</w:t>
            </w:r>
          </w:p>
        </w:tc>
      </w:tr>
    </w:tbl>
    <w:p w:rsidR="007D144E" w:rsidRDefault="007D144E" w:rsidP="00017660"/>
    <w:p w:rsidR="00467D87" w:rsidRDefault="001416D3" w:rsidP="001416D3">
      <w:pPr>
        <w:pStyle w:val="FigureName"/>
      </w:pPr>
      <w:r w:rsidRPr="001416D3">
        <w:lastRenderedPageBreak/>
        <w:t>Graph 4.3: Regional hearings</w:t>
      </w:r>
      <w:r w:rsidR="001D1DCA">
        <w:fldChar w:fldCharType="begin"/>
      </w:r>
      <w:r w:rsidR="001D1DCA">
        <w:instrText xml:space="preserve"> XE "</w:instrText>
      </w:r>
      <w:r w:rsidR="001D1DCA" w:rsidRPr="002D7689">
        <w:instrText>regional hearings</w:instrText>
      </w:r>
      <w:r w:rsidR="001D1DCA">
        <w:instrText xml:space="preserve">" </w:instrText>
      </w:r>
      <w:r w:rsidR="001D1DCA">
        <w:fldChar w:fldCharType="end"/>
      </w:r>
    </w:p>
    <w:p w:rsidR="001416D3" w:rsidRDefault="001416D3" w:rsidP="001416D3">
      <w:pPr>
        <w:pStyle w:val="FigurePara"/>
      </w:pPr>
      <w:r>
        <w:br/>
      </w:r>
      <w:r>
        <w:rPr>
          <w:noProof/>
          <w:lang w:eastAsia="en-AU"/>
        </w:rPr>
        <w:drawing>
          <wp:inline distT="0" distB="0" distL="0" distR="0">
            <wp:extent cx="4846320" cy="2643904"/>
            <wp:effectExtent l="0" t="0" r="0" b="4445"/>
            <wp:docPr id="42" name="Picture 42" descr="Graph 4.3: Regional hea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DP Plus\Docs\DVA\Veterans' Review Board\Annual Report 2017-18\sourcedocs\Graph 4.3.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46320" cy="2643904"/>
                    </a:xfrm>
                    <a:prstGeom prst="rect">
                      <a:avLst/>
                    </a:prstGeom>
                    <a:noFill/>
                    <a:ln>
                      <a:noFill/>
                    </a:ln>
                  </pic:spPr>
                </pic:pic>
              </a:graphicData>
            </a:graphic>
          </wp:inline>
        </w:drawing>
      </w:r>
    </w:p>
    <w:p w:rsidR="001416D3" w:rsidRDefault="001416D3" w:rsidP="001416D3">
      <w:pPr>
        <w:pStyle w:val="Heading3"/>
      </w:pPr>
      <w:r>
        <w:t>Representation at VRB Hearings by the Repatriation Commission, MRCC, and Service Chief</w:t>
      </w:r>
      <w:r w:rsidR="0005789C">
        <w:t>s</w:t>
      </w:r>
      <w:r w:rsidR="0005789C">
        <w:fldChar w:fldCharType="begin"/>
      </w:r>
      <w:r w:rsidR="0005789C">
        <w:instrText xml:space="preserve"> XE "s</w:instrText>
      </w:r>
      <w:r w:rsidR="0005789C" w:rsidRPr="002D7689">
        <w:instrText xml:space="preserve">ervice </w:instrText>
      </w:r>
      <w:r w:rsidR="0005789C">
        <w:instrText>c</w:instrText>
      </w:r>
      <w:r w:rsidR="0005789C" w:rsidRPr="002D7689">
        <w:instrText>hief</w:instrText>
      </w:r>
      <w:r w:rsidR="0005789C">
        <w:instrText xml:space="preserve">" </w:instrText>
      </w:r>
      <w:r w:rsidR="0005789C">
        <w:fldChar w:fldCharType="end"/>
      </w:r>
    </w:p>
    <w:p w:rsidR="001416D3" w:rsidRDefault="001416D3" w:rsidP="001416D3">
      <w:r>
        <w:t>The Repatriation Commission</w:t>
      </w:r>
      <w:r w:rsidR="0005789C">
        <w:fldChar w:fldCharType="begin"/>
      </w:r>
      <w:r w:rsidR="0005789C">
        <w:instrText xml:space="preserve"> XE "</w:instrText>
      </w:r>
      <w:r w:rsidR="0005789C" w:rsidRPr="002D7689">
        <w:instrText>Repatriation Commission</w:instrText>
      </w:r>
      <w:r w:rsidR="0005789C">
        <w:instrText xml:space="preserve">" </w:instrText>
      </w:r>
      <w:r w:rsidR="0005789C">
        <w:fldChar w:fldCharType="end"/>
      </w:r>
      <w:r>
        <w:t xml:space="preserve"> and the MRCC are formally parties to all proceedings before the VRB for matters arising under the VEA and MRCA respectively. Additionally, the service chiefs may choose to be a party in applications concerning the MRCA. As a matter of practice, however, they have seldom been represented at VRB hearings. During 2016–17 neither of the Commissions nor a service chief was represented in any VRB hearings.</w:t>
      </w:r>
    </w:p>
    <w:p w:rsidR="001416D3" w:rsidRDefault="001416D3" w:rsidP="001416D3">
      <w:pPr>
        <w:pStyle w:val="Heading3"/>
      </w:pPr>
      <w:r>
        <w:t>Service Charter</w:t>
      </w:r>
    </w:p>
    <w:p w:rsidR="001416D3" w:rsidRDefault="001416D3" w:rsidP="001416D3">
      <w:r>
        <w:t>The VRB’s service charter sets out our commitment of service to our clients. It is a public statement regarding the type and quality of services that the veteran community can expect to receive from the VRB.</w:t>
      </w:r>
    </w:p>
    <w:p w:rsidR="001416D3" w:rsidRDefault="001416D3" w:rsidP="001416D3">
      <w:r>
        <w:t>The VRB is committed to maintaining and improving the quality of its services. We monitor our performance in meeting the commitments set out the Charter. A copy of the charter can be viewed on the VRB’s website (www.vrb.gov.au).</w:t>
      </w:r>
    </w:p>
    <w:p w:rsidR="001416D3" w:rsidRDefault="001416D3" w:rsidP="001416D3">
      <w:pPr>
        <w:pStyle w:val="Heading3"/>
      </w:pPr>
      <w:bookmarkStart w:id="24" w:name="TOC_complaints"/>
      <w:r>
        <w:t>Compliments and Complaints</w:t>
      </w:r>
      <w:r w:rsidR="00741668">
        <w:fldChar w:fldCharType="begin"/>
      </w:r>
      <w:r w:rsidR="00741668">
        <w:instrText xml:space="preserve"> XE "c</w:instrText>
      </w:r>
      <w:r w:rsidR="00741668" w:rsidRPr="003924C2">
        <w:instrText>omplaints</w:instrText>
      </w:r>
      <w:r w:rsidR="00741668">
        <w:instrText xml:space="preserve">" \r "TOC_complaints" </w:instrText>
      </w:r>
      <w:r w:rsidR="00741668">
        <w:fldChar w:fldCharType="end"/>
      </w:r>
    </w:p>
    <w:p w:rsidR="001416D3" w:rsidRDefault="001416D3" w:rsidP="001416D3">
      <w:r>
        <w:t>In the 2017–18 year, the VRB received 20 compliments and 26 complaints.</w:t>
      </w:r>
    </w:p>
    <w:p w:rsidR="001416D3" w:rsidRDefault="001416D3" w:rsidP="001416D3">
      <w:r>
        <w:t>The 26 complaints referred involved the following issues: concern about the conduct of a VRB hearing, the decision or aspects of a decision (11); ADR processes (nine); handling of VRB applications (three); information obtained via DVA (two); privacy</w:t>
      </w:r>
      <w:r w:rsidR="001D1DCA">
        <w:fldChar w:fldCharType="begin"/>
      </w:r>
      <w:r w:rsidR="001D1DCA">
        <w:instrText xml:space="preserve"> XE "</w:instrText>
      </w:r>
      <w:r w:rsidR="001D1DCA" w:rsidRPr="002D7689">
        <w:instrText>privacy</w:instrText>
      </w:r>
      <w:r w:rsidR="001D1DCA">
        <w:instrText xml:space="preserve">" </w:instrText>
      </w:r>
      <w:r w:rsidR="001D1DCA">
        <w:fldChar w:fldCharType="end"/>
      </w:r>
      <w:r>
        <w:t xml:space="preserve"> breech (one).</w:t>
      </w:r>
    </w:p>
    <w:p w:rsidR="00037DEA" w:rsidRDefault="00037DEA" w:rsidP="00037DEA">
      <w:r>
        <w:lastRenderedPageBreak/>
        <w:t>Each of these concerns was examined in detail and responses were provided in a timely manner. The VRB is pleased that the complaints are few relative to the total of matters dealt with. However, the issues raised were significant to the individuals concerned. The VRB continues to aim at improving its client service to reduce the possibility of future complaints.</w:t>
      </w:r>
    </w:p>
    <w:bookmarkEnd w:id="24"/>
    <w:p w:rsidR="00037DEA" w:rsidRDefault="00037DEA" w:rsidP="00037DEA">
      <w:pPr>
        <w:pStyle w:val="Heading3"/>
      </w:pPr>
      <w:r>
        <w:t>Other Activities</w:t>
      </w:r>
    </w:p>
    <w:p w:rsidR="001416D3" w:rsidRDefault="00037DEA" w:rsidP="00037DEA">
      <w:r>
        <w:t>The VRB worked closely during the year with ex-service and related organisations and the parties to its hearings with a view to ensuring that its procedures</w:t>
      </w:r>
      <w:r w:rsidR="001D1DCA">
        <w:fldChar w:fldCharType="begin"/>
      </w:r>
      <w:r w:rsidR="001D1DCA">
        <w:instrText xml:space="preserve"> XE "</w:instrText>
      </w:r>
      <w:r w:rsidR="001D1DCA" w:rsidRPr="002D7689">
        <w:instrText>procedures</w:instrText>
      </w:r>
      <w:r w:rsidR="001D1DCA">
        <w:instrText xml:space="preserve">" </w:instrText>
      </w:r>
      <w:r w:rsidR="001D1DCA">
        <w:fldChar w:fldCharType="end"/>
      </w:r>
      <w:r>
        <w:t xml:space="preserve"> worked effectively. Senior VRB staff participated in various workshops and seminars conducted by ex-service organisations and the Department. The VRB took steps to significantly improve the accessibility and quality of information that is provided to parties. Notably, additional information on the VRB website including an updated General Practice Direction (to reflect the new procedures in place following the 2014 legislative amendments), a dedicated ADR page of the website with templates and guidelines, VRB Case Notes and other general updated guidelines such as video hearings</w:t>
      </w:r>
      <w:r w:rsidR="004A74AE">
        <w:fldChar w:fldCharType="begin"/>
      </w:r>
      <w:r w:rsidR="004A74AE">
        <w:instrText xml:space="preserve"> XE "</w:instrText>
      </w:r>
      <w:r w:rsidR="004A74AE" w:rsidRPr="002D7689">
        <w:instrText>video hearings</w:instrText>
      </w:r>
      <w:r w:rsidR="004A74AE">
        <w:instrText xml:space="preserve">" </w:instrText>
      </w:r>
      <w:r w:rsidR="004A74AE">
        <w:fldChar w:fldCharType="end"/>
      </w:r>
      <w:r>
        <w:t xml:space="preserve"> and factsheets. The Board also continued to conduct advocates liaison meetings, across Australia, to further enhance communication with the ex-service community.</w:t>
      </w:r>
    </w:p>
    <w:p w:rsidR="00037DEA" w:rsidRDefault="00037DEA" w:rsidP="00037DEA">
      <w:r>
        <w:t>The Principal Member</w:t>
      </w:r>
      <w:r w:rsidR="001D1DCA">
        <w:fldChar w:fldCharType="begin"/>
      </w:r>
      <w:r w:rsidR="001D1DCA">
        <w:instrText xml:space="preserve"> XE "</w:instrText>
      </w:r>
      <w:r w:rsidR="001D1DCA" w:rsidRPr="002D7689">
        <w:instrText>Principal Member</w:instrText>
      </w:r>
      <w:r w:rsidR="001D1DCA">
        <w:instrText xml:space="preserve">" </w:instrText>
      </w:r>
      <w:r w:rsidR="001D1DCA">
        <w:fldChar w:fldCharType="end"/>
      </w:r>
      <w:r>
        <w:t>, certain other members and senior staff attended a number of administrative law conferences and contributed to training programs managed by ex-service organisations for the training of pension and welfare officers and representatives</w:t>
      </w:r>
      <w:r w:rsidR="0005789C">
        <w:fldChar w:fldCharType="begin"/>
      </w:r>
      <w:r w:rsidR="0005789C">
        <w:instrText xml:space="preserve"> XE "</w:instrText>
      </w:r>
      <w:r w:rsidR="0005789C" w:rsidRPr="002D7689">
        <w:instrText>representatives</w:instrText>
      </w:r>
      <w:r w:rsidR="0005789C">
        <w:instrText xml:space="preserve">" </w:instrText>
      </w:r>
      <w:r w:rsidR="0005789C">
        <w:fldChar w:fldCharType="end"/>
      </w:r>
      <w:r>
        <w:t>. The Principal Member and National Registrar</w:t>
      </w:r>
      <w:r w:rsidR="0018474C">
        <w:fldChar w:fldCharType="begin"/>
      </w:r>
      <w:r w:rsidR="0018474C">
        <w:instrText xml:space="preserve"> XE "</w:instrText>
      </w:r>
      <w:r w:rsidR="0018474C" w:rsidRPr="003924C2">
        <w:instrText>National Registrar</w:instrText>
      </w:r>
      <w:r w:rsidR="0018474C">
        <w:instrText xml:space="preserve">" </w:instrText>
      </w:r>
      <w:r w:rsidR="0018474C">
        <w:fldChar w:fldCharType="end"/>
      </w:r>
      <w:r>
        <w:t xml:space="preserve"> attended and addressed a number of state and national ex-service organisation meetings and maintained close contact with the larger advocacy organisations within the veteran community.</w:t>
      </w:r>
    </w:p>
    <w:p w:rsidR="00037DEA" w:rsidRDefault="00037DEA" w:rsidP="00037DEA">
      <w:pPr>
        <w:pStyle w:val="Heading3"/>
      </w:pPr>
      <w:r>
        <w:t>Practice Directions</w:t>
      </w:r>
      <w:r w:rsidR="001D1DCA">
        <w:fldChar w:fldCharType="begin"/>
      </w:r>
      <w:r w:rsidR="001D1DCA">
        <w:instrText xml:space="preserve"> XE "Practic</w:instrText>
      </w:r>
      <w:r w:rsidR="001D1DCA" w:rsidRPr="003924C2">
        <w:instrText>e Directions</w:instrText>
      </w:r>
      <w:r w:rsidR="001D1DCA">
        <w:instrText xml:space="preserve">" </w:instrText>
      </w:r>
      <w:r w:rsidR="001D1DCA">
        <w:fldChar w:fldCharType="end"/>
      </w:r>
    </w:p>
    <w:p w:rsidR="00037DEA" w:rsidRDefault="00037DEA" w:rsidP="00037DEA">
      <w:r>
        <w:t>The Board’s General Practice Direction, Adjournment Practice Direction and Alternative Dispute Resolution</w:t>
      </w:r>
      <w:r w:rsidR="00EC32B8">
        <w:fldChar w:fldCharType="begin"/>
      </w:r>
      <w:r w:rsidR="00EC32B8">
        <w:instrText xml:space="preserve"> XE "</w:instrText>
      </w:r>
      <w:r w:rsidR="00EC32B8" w:rsidRPr="003924C2">
        <w:instrText>alternative dispute resolution</w:instrText>
      </w:r>
      <w:r w:rsidR="00EC32B8">
        <w:instrText xml:space="preserve">" </w:instrText>
      </w:r>
      <w:r w:rsidR="00EC32B8">
        <w:fldChar w:fldCharType="end"/>
      </w:r>
      <w:r>
        <w:t xml:space="preserve"> Guidelines were updated this year to reflect the 2014 legislative amendments and continue to remain in place. The aim of the GPD is that the Board, wherever possible, will finalise applications for review within 12 months of lodgement. However, the practice direction recognises that the particular steps to be taken in finalising each application will vary and that the Board will determine in consultation with applicants and their representatives what should be done to achieve finalisation in an effective and efficient manner. The practice direction provides guidance on:</w:t>
      </w:r>
    </w:p>
    <w:p w:rsidR="00037DEA" w:rsidRDefault="00037DEA" w:rsidP="00037DEA">
      <w:pPr>
        <w:pStyle w:val="Bullet"/>
      </w:pPr>
      <w:r>
        <w:t>the trial of ADR (and ADR available in non-trial locations)</w:t>
      </w:r>
    </w:p>
    <w:p w:rsidR="00037DEA" w:rsidRDefault="00037DEA" w:rsidP="00037DEA">
      <w:pPr>
        <w:pStyle w:val="Bullet"/>
      </w:pPr>
      <w:r>
        <w:t>responsibilities of representatives</w:t>
      </w:r>
    </w:p>
    <w:p w:rsidR="00037DEA" w:rsidRDefault="00037DEA" w:rsidP="00037DEA">
      <w:pPr>
        <w:pStyle w:val="Bullet"/>
      </w:pPr>
      <w:r>
        <w:t>section 137 documents</w:t>
      </w:r>
      <w:r w:rsidR="0005789C">
        <w:fldChar w:fldCharType="begin"/>
      </w:r>
      <w:r w:rsidR="0005789C">
        <w:instrText xml:space="preserve"> XE "</w:instrText>
      </w:r>
      <w:r w:rsidR="0005789C" w:rsidRPr="002D7689">
        <w:instrText>section 137 report</w:instrText>
      </w:r>
      <w:r w:rsidR="0005789C">
        <w:instrText xml:space="preserve">" </w:instrText>
      </w:r>
      <w:r w:rsidR="0005789C">
        <w:fldChar w:fldCharType="end"/>
      </w:r>
    </w:p>
    <w:p w:rsidR="00037DEA" w:rsidRDefault="00037DEA" w:rsidP="00037DEA">
      <w:pPr>
        <w:pStyle w:val="Bullet"/>
      </w:pPr>
      <w:r>
        <w:t>obtaining further evidence</w:t>
      </w:r>
    </w:p>
    <w:p w:rsidR="00037DEA" w:rsidRDefault="00037DEA" w:rsidP="00037DEA">
      <w:pPr>
        <w:pStyle w:val="Bullet"/>
      </w:pPr>
      <w:r>
        <w:t>lodging submissions, further evidence and certificates of readiness</w:t>
      </w:r>
    </w:p>
    <w:p w:rsidR="00037DEA" w:rsidRDefault="00037DEA" w:rsidP="00037DEA">
      <w:pPr>
        <w:pStyle w:val="Bullet"/>
      </w:pPr>
      <w:r>
        <w:t>case appraisal</w:t>
      </w:r>
      <w:r w:rsidR="008D2F5D">
        <w:fldChar w:fldCharType="begin"/>
      </w:r>
      <w:r w:rsidR="008D2F5D">
        <w:instrText xml:space="preserve"> XE "</w:instrText>
      </w:r>
      <w:r w:rsidR="008D2F5D" w:rsidRPr="003924C2">
        <w:instrText>case appraisal</w:instrText>
      </w:r>
      <w:r w:rsidR="008D2F5D">
        <w:instrText xml:space="preserve">" </w:instrText>
      </w:r>
      <w:r w:rsidR="008D2F5D">
        <w:fldChar w:fldCharType="end"/>
      </w:r>
      <w:r>
        <w:t xml:space="preserve"> and other forms of alternative dispute resolution</w:t>
      </w:r>
    </w:p>
    <w:p w:rsidR="00037DEA" w:rsidRDefault="00037DEA" w:rsidP="00037DEA">
      <w:pPr>
        <w:pStyle w:val="Bullet"/>
      </w:pPr>
      <w:r>
        <w:t>adjournments</w:t>
      </w:r>
    </w:p>
    <w:p w:rsidR="00037DEA" w:rsidRDefault="00037DEA" w:rsidP="00037DEA">
      <w:r>
        <w:t>A copy of the GPD and other practice directions can be viewed on the VRB’s website</w:t>
      </w:r>
      <w:r w:rsidR="00C202FD">
        <w:fldChar w:fldCharType="begin"/>
      </w:r>
      <w:r w:rsidR="00C202FD">
        <w:instrText xml:space="preserve"> XE "</w:instrText>
      </w:r>
      <w:r w:rsidR="00C202FD" w:rsidRPr="003924C2">
        <w:instrText>Internet</w:instrText>
      </w:r>
      <w:r w:rsidR="00C202FD">
        <w:instrText xml:space="preserve">" </w:instrText>
      </w:r>
      <w:r w:rsidR="00C202FD">
        <w:fldChar w:fldCharType="end"/>
      </w:r>
      <w:r>
        <w:t xml:space="preserve"> (www.vrb.gov.au).</w:t>
      </w:r>
    </w:p>
    <w:p w:rsidR="00400DF1" w:rsidRDefault="00400DF1" w:rsidP="00400DF1">
      <w:pPr>
        <w:pStyle w:val="Heading3"/>
      </w:pPr>
      <w:r>
        <w:lastRenderedPageBreak/>
        <w:t>Regular Advocates Liaison Meetings</w:t>
      </w:r>
    </w:p>
    <w:p w:rsidR="00400DF1" w:rsidRDefault="00400DF1" w:rsidP="00400DF1">
      <w:r>
        <w:t>This year the Board continued to host regular advocate liaison forums in all locations across Australia to provide an opportunity for information exchange. While the format of the forums varies slightly in each location, they provide a welcome opportunity for the VRB to explain any changes to procedure, such as the General Practice Direction. This year the forums focused on the new ADR trial and a number of presentations were delivered on the steps and procedural changes. Dedicated forums were also hosted to allow advocates an opportunity to provide feedback on the trial and discuss issues with their peers. The VRB also receives very valuable feedback on areas where we are performing well, and areas where we need to improve. Following each forum action item, lists are compiled and the Board reports back to user groups at follow up forums.</w:t>
      </w:r>
    </w:p>
    <w:p w:rsidR="00400DF1" w:rsidRDefault="00400DF1" w:rsidP="00400DF1">
      <w:pPr>
        <w:pStyle w:val="Heading3"/>
      </w:pPr>
      <w:r>
        <w:t>Improved information about the VRB</w:t>
      </w:r>
    </w:p>
    <w:p w:rsidR="00037DEA" w:rsidRDefault="00400DF1" w:rsidP="00400DF1">
      <w:r>
        <w:t>During the reporting year the VRB took steps to improve the quality of information that is provided. This included maintaining a comprehensive Internet</w:t>
      </w:r>
      <w:r w:rsidR="00C202FD">
        <w:fldChar w:fldCharType="begin"/>
      </w:r>
      <w:r w:rsidR="00C202FD">
        <w:instrText xml:space="preserve"> XE "</w:instrText>
      </w:r>
      <w:r w:rsidR="00C202FD" w:rsidRPr="003924C2">
        <w:instrText>Internet</w:instrText>
      </w:r>
      <w:r w:rsidR="00C202FD">
        <w:instrText xml:space="preserve">" </w:instrText>
      </w:r>
      <w:r w:rsidR="00C202FD">
        <w:fldChar w:fldCharType="end"/>
      </w:r>
      <w:r>
        <w:t xml:space="preserve"> site (www.vrb.gov.au) with detailed information and publications</w:t>
      </w:r>
      <w:r w:rsidR="001D1DCA">
        <w:fldChar w:fldCharType="begin"/>
      </w:r>
      <w:r w:rsidR="001D1DCA">
        <w:instrText xml:space="preserve"> XE "</w:instrText>
      </w:r>
      <w:r w:rsidR="001D1DCA" w:rsidRPr="002D7689">
        <w:instrText>publications</w:instrText>
      </w:r>
      <w:r w:rsidR="001D1DCA">
        <w:instrText xml:space="preserve">" </w:instrText>
      </w:r>
      <w:r w:rsidR="001D1DCA">
        <w:fldChar w:fldCharType="end"/>
      </w:r>
      <w:r>
        <w:t xml:space="preserve"> for applicants and their representatives</w:t>
      </w:r>
      <w:r w:rsidR="0005789C">
        <w:fldChar w:fldCharType="begin"/>
      </w:r>
      <w:r w:rsidR="0005789C">
        <w:instrText xml:space="preserve"> XE "</w:instrText>
      </w:r>
      <w:r w:rsidR="0005789C" w:rsidRPr="002D7689">
        <w:instrText>representatives</w:instrText>
      </w:r>
      <w:r w:rsidR="0005789C">
        <w:instrText xml:space="preserve">" </w:instrText>
      </w:r>
      <w:r w:rsidR="0005789C">
        <w:fldChar w:fldCharType="end"/>
      </w:r>
      <w:r>
        <w:t>, including Practice Notes</w:t>
      </w:r>
      <w:r w:rsidR="001D1DCA">
        <w:fldChar w:fldCharType="begin"/>
      </w:r>
      <w:r w:rsidR="001D1DCA">
        <w:instrText xml:space="preserve"> XE "</w:instrText>
      </w:r>
      <w:r w:rsidR="001D1DCA" w:rsidRPr="002D7689">
        <w:instrText>Practice Notes</w:instrText>
      </w:r>
      <w:r w:rsidR="001D1DCA">
        <w:instrText xml:space="preserve">" </w:instrText>
      </w:r>
      <w:r w:rsidR="001D1DCA">
        <w:fldChar w:fldCharType="end"/>
      </w:r>
      <w:r>
        <w:t>, material and links concerning jurisdiction</w:t>
      </w:r>
      <w:r w:rsidR="00C202FD">
        <w:fldChar w:fldCharType="begin"/>
      </w:r>
      <w:r w:rsidR="00C202FD">
        <w:instrText xml:space="preserve"> XE "</w:instrText>
      </w:r>
      <w:r w:rsidR="00C202FD" w:rsidRPr="003924C2">
        <w:instrText>jurisdiction</w:instrText>
      </w:r>
      <w:r w:rsidR="00C202FD">
        <w:instrText xml:space="preserve">" </w:instrText>
      </w:r>
      <w:r w:rsidR="00C202FD">
        <w:fldChar w:fldCharType="end"/>
      </w:r>
      <w:r>
        <w:t xml:space="preserve"> and procedures</w:t>
      </w:r>
      <w:r w:rsidR="001D1DCA">
        <w:fldChar w:fldCharType="begin"/>
      </w:r>
      <w:r w:rsidR="001D1DCA">
        <w:instrText xml:space="preserve"> XE "</w:instrText>
      </w:r>
      <w:r w:rsidR="001D1DCA" w:rsidRPr="002D7689">
        <w:instrText>procedures</w:instrText>
      </w:r>
      <w:r w:rsidR="001D1DCA">
        <w:instrText xml:space="preserve">" </w:instrText>
      </w:r>
      <w:r w:rsidR="001D1DCA">
        <w:fldChar w:fldCharType="end"/>
      </w:r>
      <w:r>
        <w:t>, relevant legislation, case law, and guidance for advocates and representatives.</w:t>
      </w:r>
    </w:p>
    <w:p w:rsidR="00337429" w:rsidRDefault="00337429" w:rsidP="00337429">
      <w:r>
        <w:t>The VRB also publishes:</w:t>
      </w:r>
    </w:p>
    <w:p w:rsidR="00337429" w:rsidRDefault="00337429" w:rsidP="00337429">
      <w:pPr>
        <w:pStyle w:val="Bullet"/>
      </w:pPr>
      <w:r>
        <w:t>submission templates for advocates</w:t>
      </w:r>
    </w:p>
    <w:p w:rsidR="00337429" w:rsidRDefault="00337429" w:rsidP="00337429">
      <w:pPr>
        <w:pStyle w:val="Bullet"/>
      </w:pPr>
      <w:r>
        <w:t>Practice Notes for members, staff and ESO representatives, which is published at http://www.vrb.gov.au/publications.html</w:t>
      </w:r>
    </w:p>
    <w:p w:rsidR="00337429" w:rsidRDefault="00337429" w:rsidP="00337429">
      <w:pPr>
        <w:pStyle w:val="Bullet"/>
      </w:pPr>
      <w:r>
        <w:t>VRB Case Notes which are published at http://www.vrb.gov.au/publications.html</w:t>
      </w:r>
    </w:p>
    <w:p w:rsidR="00337429" w:rsidRDefault="00337429" w:rsidP="00337429">
      <w:pPr>
        <w:pStyle w:val="Bullet"/>
      </w:pPr>
      <w:r>
        <w:t>an information brochure, which is sent to all applicants prior to their hearing</w:t>
      </w:r>
    </w:p>
    <w:p w:rsidR="00337429" w:rsidRDefault="00337429" w:rsidP="00337429">
      <w:pPr>
        <w:pStyle w:val="Bullet"/>
      </w:pPr>
      <w:r>
        <w:t>an Operations Manual</w:t>
      </w:r>
      <w:r w:rsidR="001D1DCA">
        <w:fldChar w:fldCharType="begin"/>
      </w:r>
      <w:r w:rsidR="001D1DCA">
        <w:instrText xml:space="preserve"> XE "</w:instrText>
      </w:r>
      <w:r w:rsidR="001D1DCA" w:rsidRPr="003924C2">
        <w:instrText>Operations Manual</w:instrText>
      </w:r>
      <w:r w:rsidR="001D1DCA">
        <w:instrText xml:space="preserve">" </w:instrText>
      </w:r>
      <w:r w:rsidR="001D1DCA">
        <w:fldChar w:fldCharType="end"/>
      </w:r>
      <w:r>
        <w:t>, which sets out details of the administrative processing of applications to the VRB, which is currently under review.</w:t>
      </w:r>
    </w:p>
    <w:p w:rsidR="00337429" w:rsidRDefault="00337429" w:rsidP="00337429">
      <w:r>
        <w:t>The VRB also continued to publish a journal called VeRBosity</w:t>
      </w:r>
      <w:r w:rsidR="004A74AE">
        <w:fldChar w:fldCharType="begin"/>
      </w:r>
      <w:r w:rsidR="004A74AE">
        <w:instrText xml:space="preserve"> XE "</w:instrText>
      </w:r>
      <w:r w:rsidR="004A74AE" w:rsidRPr="002D7689">
        <w:instrText>Verbosity</w:instrText>
      </w:r>
      <w:r w:rsidR="004A74AE">
        <w:instrText xml:space="preserve">" </w:instrText>
      </w:r>
      <w:r w:rsidR="004A74AE">
        <w:fldChar w:fldCharType="end"/>
      </w:r>
      <w:r>
        <w:t>. This journal includes information about Statements of Principles</w:t>
      </w:r>
      <w:r w:rsidR="004A74AE">
        <w:fldChar w:fldCharType="begin"/>
      </w:r>
      <w:r w:rsidR="004A74AE">
        <w:instrText xml:space="preserve"> XE "</w:instrText>
      </w:r>
      <w:r w:rsidR="004A74AE" w:rsidRPr="002D7689">
        <w:instrText>Statements of Principles</w:instrText>
      </w:r>
      <w:r w:rsidR="004A74AE">
        <w:instrText xml:space="preserve">" </w:instrText>
      </w:r>
      <w:r w:rsidR="004A74AE">
        <w:fldChar w:fldCharType="end"/>
      </w:r>
      <w:r>
        <w:t>, legislative amendments, and decisions by the Administrative Appeals Tribunal and courts in the veterans’ and military compensation field together with other items of interest. It is distributed on request to people involved in the jurisdiction and is available online at http://www.vrb.gov.au/publications.html</w:t>
      </w:r>
    </w:p>
    <w:p w:rsidR="00400DF1" w:rsidRDefault="00337429" w:rsidP="00337429">
      <w:r>
        <w:t>In order to optimise the quality of VRB decisions, it is important that members, applicants and advocates have access to appropriate library resources to enable research on material not contained in sources such as VeRBosity. Some library and source material is maintained in each registry with the larger concentrations in Sydney, Melbourne and Brisbane. These materials can be provided overnight between registries.</w:t>
      </w:r>
    </w:p>
    <w:p w:rsidR="00337429" w:rsidRDefault="00337429" w:rsidP="00337429">
      <w:r>
        <w:t>The VRB’s intermediate role and high-volume jurisdiction mean that members have to deal with their caseload as expeditiously as possible. At the same time, both parties expect the VRB to consistently reach the correct decision in accordance with the facts and relevant law. In order to accommodate these competing requirements, legal officers at the VRB provide members with research on particular problems that arise from time to time, to speedily provide them with:</w:t>
      </w:r>
    </w:p>
    <w:p w:rsidR="00337429" w:rsidRDefault="00337429" w:rsidP="00337429">
      <w:pPr>
        <w:pStyle w:val="Bullet"/>
      </w:pPr>
      <w:r>
        <w:t>the relevant law as interpreted by the courts and the Administrative Appeals Tribunal</w:t>
      </w:r>
    </w:p>
    <w:p w:rsidR="009B689F" w:rsidRDefault="009B689F" w:rsidP="009B689F">
      <w:pPr>
        <w:pStyle w:val="Bullet"/>
      </w:pPr>
      <w:r>
        <w:t>legislative amendments</w:t>
      </w:r>
    </w:p>
    <w:p w:rsidR="009B689F" w:rsidRDefault="009B689F" w:rsidP="009B689F">
      <w:pPr>
        <w:pStyle w:val="Bullet"/>
      </w:pPr>
      <w:r>
        <w:lastRenderedPageBreak/>
        <w:t>relevant research papers</w:t>
      </w:r>
    </w:p>
    <w:p w:rsidR="009B689F" w:rsidRDefault="009B689F" w:rsidP="009B689F">
      <w:pPr>
        <w:pStyle w:val="Bullet"/>
      </w:pPr>
      <w:r>
        <w:t>details of significant or interesting VRB decisions.</w:t>
      </w:r>
    </w:p>
    <w:p w:rsidR="00337429" w:rsidRDefault="009B689F" w:rsidP="009B689F">
      <w:r>
        <w:t>An internal discourse bulletin and a comprehensive Collaborative Tools intranet</w:t>
      </w:r>
      <w:r w:rsidR="00C202FD">
        <w:fldChar w:fldCharType="begin"/>
      </w:r>
      <w:r w:rsidR="00C202FD">
        <w:instrText xml:space="preserve"> XE "</w:instrText>
      </w:r>
      <w:r w:rsidR="00C202FD" w:rsidRPr="003924C2">
        <w:instrText>intranet</w:instrText>
      </w:r>
      <w:r w:rsidR="00C202FD">
        <w:instrText xml:space="preserve">" </w:instrText>
      </w:r>
      <w:r w:rsidR="00C202FD">
        <w:fldChar w:fldCharType="end"/>
      </w:r>
      <w:r>
        <w:t xml:space="preserve"> site assists in providing members with this material. Members have also been provided with various handbooks and a ‘Quick Guide’ for easy reference use at hearing.</w:t>
      </w:r>
    </w:p>
    <w:p w:rsidR="00592BC5" w:rsidRDefault="00592BC5" w:rsidP="00592BC5">
      <w:pPr>
        <w:pStyle w:val="Heading3"/>
      </w:pPr>
      <w:r>
        <w:t>Access and equity</w:t>
      </w:r>
      <w:r w:rsidR="00EC32B8">
        <w:fldChar w:fldCharType="begin"/>
      </w:r>
      <w:r w:rsidR="00EC32B8">
        <w:instrText xml:space="preserve"> XE "</w:instrText>
      </w:r>
      <w:r w:rsidR="00EC32B8" w:rsidRPr="003924C2">
        <w:instrText>access and equity</w:instrText>
      </w:r>
      <w:r w:rsidR="00EC32B8">
        <w:instrText xml:space="preserve">" </w:instrText>
      </w:r>
      <w:r w:rsidR="00EC32B8">
        <w:fldChar w:fldCharType="end"/>
      </w:r>
    </w:p>
    <w:p w:rsidR="00592BC5" w:rsidRDefault="00592BC5" w:rsidP="00592BC5">
      <w:r>
        <w:t>In conjunction with the Department of Veterans’ Affairs strategy to comply with the Government’s social justice policy, the VRB observes the requirements of access, equity, .equality and participation.</w:t>
      </w:r>
    </w:p>
    <w:p w:rsidR="00592BC5" w:rsidRDefault="00592BC5" w:rsidP="00592BC5">
      <w:r>
        <w:t>The VRB serves an identifiable segment of the community. The VRB is aware of its obligations in dealing with elderly persons, people with non-English speaking backgrounds and persons with disabilities. The VRB holds hearings and video hearings in some regional areas to ensure easier access for applicants. All applicants are advised of their right of appeal to the AAT on receiving advice of a VRB decision. Senior VRB staff speak on a regular basis at pensions seminars run by exservice organisations and DVA, and visit regional areas to discuss the VRB’s operations with ex-service organisation representatives</w:t>
      </w:r>
      <w:r w:rsidR="0005789C">
        <w:fldChar w:fldCharType="begin"/>
      </w:r>
      <w:r w:rsidR="0005789C">
        <w:instrText xml:space="preserve"> XE "</w:instrText>
      </w:r>
      <w:r w:rsidR="0005789C" w:rsidRPr="002D7689">
        <w:instrText>representatives</w:instrText>
      </w:r>
      <w:r w:rsidR="0005789C">
        <w:instrText xml:space="preserve">" </w:instrText>
      </w:r>
      <w:r w:rsidR="0005789C">
        <w:fldChar w:fldCharType="end"/>
      </w:r>
      <w:r>
        <w:t>.</w:t>
      </w:r>
    </w:p>
    <w:p w:rsidR="009B689F" w:rsidRDefault="00592BC5" w:rsidP="00592BC5">
      <w:r>
        <w:t>In recognition of the fact that its staff are made available by DVA and operate in a comparable environment, the VRB acts consistently with Departmental policies and initiatives in such matters as work health and safety, enterprise bargaining, industrial democracy and equal employment opportunity.</w:t>
      </w:r>
    </w:p>
    <w:p w:rsidR="00575E6B" w:rsidRDefault="00575E6B" w:rsidP="00575E6B">
      <w:pPr>
        <w:pStyle w:val="Heading3"/>
      </w:pPr>
      <w:r>
        <w:t>Other Tribunals</w:t>
      </w:r>
    </w:p>
    <w:p w:rsidR="00575E6B" w:rsidRDefault="00575E6B" w:rsidP="00575E6B">
      <w:r>
        <w:t>The VRB maintains relationships with other tribunals through the following fora:</w:t>
      </w:r>
    </w:p>
    <w:p w:rsidR="00575E6B" w:rsidRDefault="00575E6B" w:rsidP="00575E6B">
      <w:pPr>
        <w:pStyle w:val="Bullet"/>
      </w:pPr>
      <w:r>
        <w:t>Council of Australasian Tribunals (COAT),</w:t>
      </w:r>
    </w:p>
    <w:p w:rsidR="00575E6B" w:rsidRDefault="00575E6B" w:rsidP="00575E6B">
      <w:pPr>
        <w:pStyle w:val="Bullet"/>
      </w:pPr>
      <w:r>
        <w:t>Commonwealth Heads of Tribunals (CHOTS),</w:t>
      </w:r>
    </w:p>
    <w:p w:rsidR="00575E6B" w:rsidRDefault="00575E6B" w:rsidP="00575E6B">
      <w:pPr>
        <w:pStyle w:val="Bullet"/>
      </w:pPr>
      <w:r>
        <w:t>Meetings involving the senior managers/registrars from the above federal review tribunals</w:t>
      </w:r>
    </w:p>
    <w:p w:rsidR="00575E6B" w:rsidRDefault="00575E6B" w:rsidP="00575E6B">
      <w:pPr>
        <w:pStyle w:val="Bullet"/>
      </w:pPr>
      <w:r>
        <w:t>General liaison between staff of specific corporate functions (including human resources, finance, training and information technology).</w:t>
      </w:r>
    </w:p>
    <w:p w:rsidR="00575E6B" w:rsidRDefault="00575E6B" w:rsidP="00575E6B">
      <w:pPr>
        <w:pStyle w:val="Heading3"/>
      </w:pPr>
      <w:r>
        <w:t>Quality assurance</w:t>
      </w:r>
    </w:p>
    <w:p w:rsidR="00575E6B" w:rsidRDefault="00575E6B" w:rsidP="00575E6B">
      <w:r>
        <w:t>In order to gauge applicant satisfaction and further develop members, in 2017–18 the VRB:</w:t>
      </w:r>
    </w:p>
    <w:p w:rsidR="00575E6B" w:rsidRDefault="00575E6B" w:rsidP="00575E6B">
      <w:pPr>
        <w:pStyle w:val="Bullet"/>
      </w:pPr>
      <w:r>
        <w:t>conducted a variety of face to face member training, including induction training and follow up GARP and MRCA training</w:t>
      </w:r>
    </w:p>
    <w:p w:rsidR="00592BC5" w:rsidRDefault="00575E6B" w:rsidP="00575E6B">
      <w:pPr>
        <w:pStyle w:val="Bullet"/>
      </w:pPr>
      <w:r>
        <w:t>conducted Advocate Liaison meetings</w:t>
      </w:r>
    </w:p>
    <w:p w:rsidR="00575E6B" w:rsidRDefault="00575E6B" w:rsidP="00575E6B"/>
    <w:p w:rsidR="00291DBF" w:rsidRDefault="00291DBF" w:rsidP="00575E6B">
      <w:pPr>
        <w:sectPr w:rsidR="00291DBF" w:rsidSect="004401A2">
          <w:type w:val="oddPage"/>
          <w:pgSz w:w="9979" w:h="14170" w:code="243"/>
          <w:pgMar w:top="1440" w:right="850" w:bottom="1138" w:left="1411" w:header="576" w:footer="576" w:gutter="0"/>
          <w:cols w:space="708"/>
          <w:docGrid w:linePitch="360"/>
        </w:sectPr>
      </w:pPr>
    </w:p>
    <w:p w:rsidR="00291DBF" w:rsidRDefault="00C437B8" w:rsidP="00575E6B">
      <w:r>
        <w:rPr>
          <w:noProof/>
          <w:lang w:eastAsia="en-AU"/>
        </w:rPr>
        <w:lastRenderedPageBreak/>
        <w:drawing>
          <wp:anchor distT="0" distB="0" distL="114300" distR="114300" simplePos="0" relativeHeight="251697152" behindDoc="0" locked="1" layoutInCell="0" allowOverlap="1">
            <wp:simplePos x="0" y="0"/>
            <wp:positionH relativeFrom="column">
              <wp:posOffset>-895985</wp:posOffset>
            </wp:positionH>
            <wp:positionV relativeFrom="paragraph">
              <wp:posOffset>-335280</wp:posOffset>
            </wp:positionV>
            <wp:extent cx="6336665" cy="7802245"/>
            <wp:effectExtent l="0" t="0" r="6985" b="8255"/>
            <wp:wrapTopAndBottom/>
            <wp:docPr id="43" name="Picture 43" descr="Part title image: Part 4 - Management and Account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P Plus\Docs\DVA\Veterans' Review Board\Annual Report 2017-18\sourcedocs\Part title graphics_Page_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36665" cy="78022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1DBF" w:rsidRDefault="00C437B8" w:rsidP="00C437B8">
      <w:pPr>
        <w:pStyle w:val="Heading1"/>
      </w:pPr>
      <w:bookmarkStart w:id="25" w:name="_Toc532322368"/>
      <w:r w:rsidRPr="00C437B8">
        <w:rPr>
          <w:b w:val="0"/>
          <w:sz w:val="40"/>
        </w:rPr>
        <w:lastRenderedPageBreak/>
        <w:t>Part 4 –</w:t>
      </w:r>
      <w:r w:rsidRPr="00C437B8">
        <w:rPr>
          <w:b w:val="0"/>
          <w:sz w:val="40"/>
        </w:rPr>
        <w:br/>
      </w:r>
      <w:r>
        <w:t>Management and Accountability</w:t>
      </w:r>
      <w:bookmarkEnd w:id="25"/>
    </w:p>
    <w:p w:rsidR="00C437B8" w:rsidRDefault="00C437B8" w:rsidP="00C437B8">
      <w:pPr>
        <w:pStyle w:val="Heading3"/>
      </w:pPr>
      <w:bookmarkStart w:id="26" w:name="TOC_staff"/>
      <w:r>
        <w:t>Staff</w:t>
      </w:r>
      <w:r w:rsidR="0005789C">
        <w:fldChar w:fldCharType="begin"/>
      </w:r>
      <w:r w:rsidR="0005789C">
        <w:instrText xml:space="preserve"> XE "</w:instrText>
      </w:r>
      <w:r w:rsidR="0005789C" w:rsidRPr="002D7689">
        <w:instrText>staff</w:instrText>
      </w:r>
      <w:r w:rsidR="0005789C">
        <w:instrText xml:space="preserve">" \r "TOC_staff" </w:instrText>
      </w:r>
      <w:r w:rsidR="0005789C">
        <w:fldChar w:fldCharType="end"/>
      </w:r>
    </w:p>
    <w:p w:rsidR="00C74977" w:rsidRDefault="00C74977" w:rsidP="00C74977">
      <w:pPr>
        <w:rPr>
          <w:rFonts w:ascii="HelveticaNeue-Light" w:hAnsi="HelveticaNeue-Light" w:cs="HelveticaNeue-Light"/>
        </w:rPr>
      </w:pPr>
      <w:r>
        <w:t xml:space="preserve">Under section 172 of the VEA, the Secretary of DVA is required to make available any staff required to assist the VRB in the performance of its statutory functions, who are employed under </w:t>
      </w:r>
      <w:r w:rsidRPr="00C74977">
        <w:t xml:space="preserve">the terms of the </w:t>
      </w:r>
      <w:r w:rsidRPr="00C74977">
        <w:rPr>
          <w:i/>
        </w:rPr>
        <w:t>Public Service Act 1999</w:t>
      </w:r>
      <w:r w:rsidRPr="00C74977">
        <w:t xml:space="preserve"> and the</w:t>
      </w:r>
      <w:r>
        <w:rPr>
          <w:rFonts w:ascii="HelveticaNeue-Light" w:hAnsi="HelveticaNeue-Light" w:cs="HelveticaNeue-Light"/>
        </w:rPr>
        <w:t xml:space="preserve"> </w:t>
      </w:r>
      <w:r w:rsidRPr="00C74977">
        <w:rPr>
          <w:i/>
        </w:rPr>
        <w:t>DVA Enterprise Agreement 2012-2014</w:t>
      </w:r>
      <w:r>
        <w:rPr>
          <w:rFonts w:ascii="HelveticaNeue-Light" w:hAnsi="HelveticaNeue-Light" w:cs="HelveticaNeue-Light"/>
        </w:rPr>
        <w:t>.</w:t>
      </w:r>
    </w:p>
    <w:p w:rsidR="00C74977" w:rsidRDefault="00C74977" w:rsidP="00C74977">
      <w:r>
        <w:t xml:space="preserve">Comprehensive information on the </w:t>
      </w:r>
      <w:r w:rsidRPr="0018474C">
        <w:rPr>
          <w:i/>
        </w:rPr>
        <w:t>Enterprise Agreement 2015-2018</w:t>
      </w:r>
      <w:r w:rsidRPr="0018474C">
        <w:t xml:space="preserve"> </w:t>
      </w:r>
      <w:r>
        <w:t>is available in DVA’s annual report. As at 30 June 2018, VRB employees were covered by this Australian Workplace Agreement. Performance pay is also no longer available to VRB employees.</w:t>
      </w:r>
    </w:p>
    <w:p w:rsidR="00C74977" w:rsidRDefault="00C74977" w:rsidP="00C74977">
      <w:r>
        <w:t>On 30 June 2018 the VRB employed 28.5 full-time equivalent staff (including 4 contractors), compared to 25.9 staff as at 30 June 2017.</w:t>
      </w:r>
    </w:p>
    <w:p w:rsidR="00C437B8" w:rsidRDefault="00C74977" w:rsidP="00C74977">
      <w:r>
        <w:t>The break-up of staff at 30 June 2018 is set out in Tables 12 and 13, and in Graphs 6.1 to 6.3. Because the National Registry is situated in Sydney, its staff are shown together with those of the NSW State Registry under NSW.</w:t>
      </w:r>
    </w:p>
    <w:tbl>
      <w:tblPr>
        <w:tblStyle w:val="TableGrid"/>
        <w:tblW w:w="5000" w:type="pct"/>
        <w:tblBorders>
          <w:top w:val="single" w:sz="4" w:space="0" w:color="A39892"/>
          <w:left w:val="single" w:sz="4" w:space="0" w:color="A39892"/>
          <w:bottom w:val="single" w:sz="4" w:space="0" w:color="A39892"/>
          <w:right w:val="single" w:sz="4" w:space="0" w:color="A39892"/>
          <w:insideH w:val="single" w:sz="4" w:space="0" w:color="A39892"/>
          <w:insideV w:val="single" w:sz="4" w:space="0" w:color="A39892"/>
        </w:tblBorders>
        <w:tblLayout w:type="fixed"/>
        <w:tblCellMar>
          <w:left w:w="115" w:type="dxa"/>
          <w:right w:w="115" w:type="dxa"/>
        </w:tblCellMar>
        <w:tblLook w:val="04A0" w:firstRow="1" w:lastRow="0" w:firstColumn="1" w:lastColumn="0" w:noHBand="0" w:noVBand="1"/>
      </w:tblPr>
      <w:tblGrid>
        <w:gridCol w:w="1555"/>
        <w:gridCol w:w="1065"/>
        <w:gridCol w:w="1066"/>
        <w:gridCol w:w="1065"/>
        <w:gridCol w:w="1066"/>
        <w:gridCol w:w="1065"/>
        <w:gridCol w:w="1066"/>
      </w:tblGrid>
      <w:tr w:rsidR="00057E32" w:rsidTr="00A42141">
        <w:trPr>
          <w:cantSplit/>
        </w:trPr>
        <w:tc>
          <w:tcPr>
            <w:tcW w:w="7948" w:type="dxa"/>
            <w:gridSpan w:val="7"/>
            <w:tcBorders>
              <w:bottom w:val="single" w:sz="4" w:space="0" w:color="A39892"/>
            </w:tcBorders>
            <w:shd w:val="clear" w:color="auto" w:fill="A39892"/>
          </w:tcPr>
          <w:p w:rsidR="00057E32" w:rsidRDefault="00057E32" w:rsidP="003C24E0">
            <w:pPr>
              <w:pStyle w:val="TableName"/>
              <w:tabs>
                <w:tab w:val="left" w:pos="1424"/>
              </w:tabs>
              <w:spacing w:before="80" w:after="40"/>
            </w:pPr>
            <w:r>
              <w:t>Table 11: Staff</w:t>
            </w:r>
          </w:p>
        </w:tc>
      </w:tr>
      <w:tr w:rsidR="00057E32" w:rsidRPr="00057E32" w:rsidTr="00057E32">
        <w:trPr>
          <w:cantSplit/>
        </w:trPr>
        <w:tc>
          <w:tcPr>
            <w:tcW w:w="1555" w:type="dxa"/>
            <w:tcBorders>
              <w:bottom w:val="single" w:sz="4" w:space="0" w:color="A39892"/>
            </w:tcBorders>
            <w:shd w:val="clear" w:color="auto" w:fill="C6BDB6"/>
          </w:tcPr>
          <w:p w:rsidR="00057E32" w:rsidRPr="00057E32" w:rsidRDefault="00057E32" w:rsidP="003C24E0">
            <w:pPr>
              <w:pStyle w:val="TableText"/>
              <w:spacing w:before="50" w:after="20"/>
              <w:rPr>
                <w:b/>
              </w:rPr>
            </w:pPr>
          </w:p>
        </w:tc>
        <w:tc>
          <w:tcPr>
            <w:tcW w:w="1065" w:type="dxa"/>
            <w:shd w:val="clear" w:color="auto" w:fill="C6BDB6"/>
          </w:tcPr>
          <w:p w:rsidR="00057E32" w:rsidRPr="00057E32" w:rsidRDefault="00057E32" w:rsidP="003C24E0">
            <w:pPr>
              <w:pStyle w:val="TableText"/>
              <w:spacing w:before="50" w:after="20"/>
              <w:rPr>
                <w:b/>
              </w:rPr>
            </w:pPr>
            <w:r w:rsidRPr="00057E32">
              <w:rPr>
                <w:b/>
              </w:rPr>
              <w:t>Gender</w:t>
            </w:r>
          </w:p>
        </w:tc>
        <w:tc>
          <w:tcPr>
            <w:tcW w:w="1066" w:type="dxa"/>
            <w:shd w:val="clear" w:color="auto" w:fill="C6BDB6"/>
          </w:tcPr>
          <w:p w:rsidR="00057E32" w:rsidRPr="00057E32" w:rsidRDefault="00057E32" w:rsidP="003C24E0">
            <w:pPr>
              <w:pStyle w:val="TableText"/>
              <w:spacing w:before="50" w:after="20"/>
              <w:rPr>
                <w:b/>
              </w:rPr>
            </w:pPr>
            <w:r w:rsidRPr="00057E32">
              <w:rPr>
                <w:b/>
              </w:rPr>
              <w:t>NSW</w:t>
            </w:r>
          </w:p>
        </w:tc>
        <w:tc>
          <w:tcPr>
            <w:tcW w:w="1065" w:type="dxa"/>
            <w:shd w:val="clear" w:color="auto" w:fill="C6BDB6"/>
          </w:tcPr>
          <w:p w:rsidR="00057E32" w:rsidRPr="00057E32" w:rsidRDefault="00057E32" w:rsidP="003C24E0">
            <w:pPr>
              <w:pStyle w:val="TableText"/>
              <w:spacing w:before="50" w:after="20"/>
              <w:rPr>
                <w:b/>
              </w:rPr>
            </w:pPr>
            <w:r w:rsidRPr="00057E32">
              <w:rPr>
                <w:b/>
              </w:rPr>
              <w:t>VIC</w:t>
            </w:r>
          </w:p>
        </w:tc>
        <w:tc>
          <w:tcPr>
            <w:tcW w:w="1066" w:type="dxa"/>
            <w:shd w:val="clear" w:color="auto" w:fill="C6BDB6"/>
          </w:tcPr>
          <w:p w:rsidR="00057E32" w:rsidRPr="00057E32" w:rsidRDefault="00057E32" w:rsidP="003C24E0">
            <w:pPr>
              <w:pStyle w:val="TableText"/>
              <w:spacing w:before="50" w:after="20"/>
              <w:rPr>
                <w:b/>
              </w:rPr>
            </w:pPr>
            <w:r w:rsidRPr="00057E32">
              <w:rPr>
                <w:b/>
              </w:rPr>
              <w:t>QLD</w:t>
            </w:r>
          </w:p>
        </w:tc>
        <w:tc>
          <w:tcPr>
            <w:tcW w:w="1065" w:type="dxa"/>
            <w:shd w:val="clear" w:color="auto" w:fill="C6BDB6"/>
          </w:tcPr>
          <w:p w:rsidR="00057E32" w:rsidRPr="00057E32" w:rsidRDefault="00057E32" w:rsidP="003C24E0">
            <w:pPr>
              <w:pStyle w:val="TableText"/>
              <w:spacing w:before="50" w:after="20"/>
              <w:rPr>
                <w:b/>
              </w:rPr>
            </w:pPr>
            <w:r w:rsidRPr="00057E32">
              <w:rPr>
                <w:b/>
              </w:rPr>
              <w:t>SA</w:t>
            </w:r>
          </w:p>
        </w:tc>
        <w:tc>
          <w:tcPr>
            <w:tcW w:w="1066" w:type="dxa"/>
            <w:shd w:val="clear" w:color="auto" w:fill="C6BDB6"/>
          </w:tcPr>
          <w:p w:rsidR="00057E32" w:rsidRPr="00057E32" w:rsidRDefault="00057E32" w:rsidP="003C24E0">
            <w:pPr>
              <w:pStyle w:val="TableText"/>
              <w:spacing w:before="50" w:after="20"/>
              <w:rPr>
                <w:b/>
              </w:rPr>
            </w:pPr>
            <w:r w:rsidRPr="00057E32">
              <w:rPr>
                <w:b/>
              </w:rPr>
              <w:t>AUST</w:t>
            </w:r>
          </w:p>
        </w:tc>
      </w:tr>
      <w:tr w:rsidR="00057E32" w:rsidTr="00057E32">
        <w:trPr>
          <w:cantSplit/>
        </w:trPr>
        <w:tc>
          <w:tcPr>
            <w:tcW w:w="1555" w:type="dxa"/>
            <w:tcBorders>
              <w:bottom w:val="nil"/>
            </w:tcBorders>
          </w:tcPr>
          <w:p w:rsidR="00057E32" w:rsidRDefault="00057E32" w:rsidP="003C24E0">
            <w:pPr>
              <w:pStyle w:val="TableText"/>
              <w:spacing w:before="40" w:after="24"/>
            </w:pPr>
            <w:r>
              <w:t>EL 2</w:t>
            </w:r>
          </w:p>
        </w:tc>
        <w:tc>
          <w:tcPr>
            <w:tcW w:w="1065" w:type="dxa"/>
          </w:tcPr>
          <w:p w:rsidR="00057E32" w:rsidRDefault="00057E32" w:rsidP="003C24E0">
            <w:pPr>
              <w:pStyle w:val="TableText"/>
              <w:spacing w:before="40" w:after="24"/>
            </w:pPr>
            <w:r>
              <w:t>Male</w:t>
            </w:r>
          </w:p>
        </w:tc>
        <w:tc>
          <w:tcPr>
            <w:tcW w:w="1066" w:type="dxa"/>
          </w:tcPr>
          <w:p w:rsidR="00057E32" w:rsidRDefault="00057E32" w:rsidP="003C24E0">
            <w:pPr>
              <w:pStyle w:val="TableText"/>
              <w:spacing w:before="40" w:after="24"/>
            </w:pPr>
          </w:p>
        </w:tc>
        <w:tc>
          <w:tcPr>
            <w:tcW w:w="1065" w:type="dxa"/>
          </w:tcPr>
          <w:p w:rsidR="00057E32" w:rsidRDefault="00EE3249" w:rsidP="003C24E0">
            <w:pPr>
              <w:pStyle w:val="TableText"/>
              <w:spacing w:before="40" w:after="24"/>
            </w:pPr>
            <w:r>
              <w:t>0</w:t>
            </w:r>
          </w:p>
        </w:tc>
        <w:tc>
          <w:tcPr>
            <w:tcW w:w="1066" w:type="dxa"/>
          </w:tcPr>
          <w:p w:rsidR="00057E32" w:rsidRDefault="00EE3249" w:rsidP="003C24E0">
            <w:pPr>
              <w:pStyle w:val="TableText"/>
              <w:spacing w:before="40" w:after="24"/>
            </w:pPr>
            <w:r>
              <w:t>0</w:t>
            </w:r>
          </w:p>
        </w:tc>
        <w:tc>
          <w:tcPr>
            <w:tcW w:w="1065" w:type="dxa"/>
          </w:tcPr>
          <w:p w:rsidR="00057E32" w:rsidRDefault="00EE3249" w:rsidP="003C24E0">
            <w:pPr>
              <w:pStyle w:val="TableText"/>
              <w:spacing w:before="40" w:after="24"/>
            </w:pPr>
            <w:r>
              <w:t>0</w:t>
            </w:r>
          </w:p>
        </w:tc>
        <w:tc>
          <w:tcPr>
            <w:tcW w:w="1066" w:type="dxa"/>
          </w:tcPr>
          <w:p w:rsidR="00057E32" w:rsidRDefault="00057E32" w:rsidP="003C24E0">
            <w:pPr>
              <w:pStyle w:val="TableText"/>
              <w:spacing w:before="40" w:after="24"/>
            </w:pPr>
          </w:p>
        </w:tc>
      </w:tr>
      <w:tr w:rsidR="00057E32" w:rsidTr="00057E32">
        <w:trPr>
          <w:cantSplit/>
        </w:trPr>
        <w:tc>
          <w:tcPr>
            <w:tcW w:w="1555" w:type="dxa"/>
            <w:tcBorders>
              <w:top w:val="nil"/>
              <w:bottom w:val="nil"/>
            </w:tcBorders>
          </w:tcPr>
          <w:p w:rsidR="00057E32" w:rsidRDefault="00057E32" w:rsidP="003C24E0">
            <w:pPr>
              <w:pStyle w:val="TableText"/>
              <w:spacing w:before="40" w:after="24"/>
            </w:pPr>
          </w:p>
        </w:tc>
        <w:tc>
          <w:tcPr>
            <w:tcW w:w="1065" w:type="dxa"/>
          </w:tcPr>
          <w:p w:rsidR="00057E32" w:rsidRDefault="00057E32" w:rsidP="003C24E0">
            <w:pPr>
              <w:pStyle w:val="TableText"/>
              <w:spacing w:before="40" w:after="24"/>
            </w:pPr>
            <w:r>
              <w:t>Female</w:t>
            </w:r>
          </w:p>
        </w:tc>
        <w:tc>
          <w:tcPr>
            <w:tcW w:w="1066" w:type="dxa"/>
          </w:tcPr>
          <w:p w:rsidR="00057E32" w:rsidRDefault="00EE3249" w:rsidP="003C24E0">
            <w:pPr>
              <w:pStyle w:val="TableText"/>
              <w:spacing w:before="40" w:after="24"/>
            </w:pPr>
            <w:r>
              <w:t>1</w:t>
            </w:r>
          </w:p>
        </w:tc>
        <w:tc>
          <w:tcPr>
            <w:tcW w:w="1065" w:type="dxa"/>
          </w:tcPr>
          <w:p w:rsidR="00057E32" w:rsidRDefault="00EE3249" w:rsidP="003C24E0">
            <w:pPr>
              <w:pStyle w:val="TableText"/>
              <w:spacing w:before="40" w:after="24"/>
            </w:pPr>
            <w:r>
              <w:t>0</w:t>
            </w:r>
          </w:p>
        </w:tc>
        <w:tc>
          <w:tcPr>
            <w:tcW w:w="1066" w:type="dxa"/>
          </w:tcPr>
          <w:p w:rsidR="00057E32" w:rsidRDefault="00EE3249" w:rsidP="003C24E0">
            <w:pPr>
              <w:pStyle w:val="TableText"/>
              <w:spacing w:before="40" w:after="24"/>
            </w:pPr>
            <w:r>
              <w:t>0</w:t>
            </w:r>
          </w:p>
        </w:tc>
        <w:tc>
          <w:tcPr>
            <w:tcW w:w="1065" w:type="dxa"/>
          </w:tcPr>
          <w:p w:rsidR="00057E32" w:rsidRDefault="00EE3249" w:rsidP="003C24E0">
            <w:pPr>
              <w:pStyle w:val="TableText"/>
              <w:spacing w:before="40" w:after="24"/>
            </w:pPr>
            <w:r>
              <w:t>0</w:t>
            </w:r>
          </w:p>
        </w:tc>
        <w:tc>
          <w:tcPr>
            <w:tcW w:w="1066" w:type="dxa"/>
          </w:tcPr>
          <w:p w:rsidR="00057E32" w:rsidRDefault="00EE3249" w:rsidP="003C24E0">
            <w:pPr>
              <w:pStyle w:val="TableText"/>
              <w:spacing w:before="40" w:after="24"/>
            </w:pPr>
            <w:r>
              <w:t>1</w:t>
            </w:r>
          </w:p>
        </w:tc>
      </w:tr>
      <w:tr w:rsidR="00057E32" w:rsidTr="00057E32">
        <w:trPr>
          <w:cantSplit/>
        </w:trPr>
        <w:tc>
          <w:tcPr>
            <w:tcW w:w="1555" w:type="dxa"/>
            <w:tcBorders>
              <w:top w:val="nil"/>
              <w:bottom w:val="single" w:sz="4" w:space="0" w:color="A39892"/>
            </w:tcBorders>
          </w:tcPr>
          <w:p w:rsidR="00057E32" w:rsidRDefault="00057E32" w:rsidP="003C24E0">
            <w:pPr>
              <w:pStyle w:val="TableText"/>
              <w:spacing w:before="40" w:after="24"/>
            </w:pPr>
          </w:p>
        </w:tc>
        <w:tc>
          <w:tcPr>
            <w:tcW w:w="1065" w:type="dxa"/>
            <w:tcBorders>
              <w:bottom w:val="single" w:sz="4" w:space="0" w:color="A39892"/>
            </w:tcBorders>
          </w:tcPr>
          <w:p w:rsidR="00057E32" w:rsidRDefault="00057E32" w:rsidP="003C24E0">
            <w:pPr>
              <w:pStyle w:val="TableText"/>
              <w:spacing w:before="40" w:after="24"/>
            </w:pPr>
            <w:r>
              <w:t>Total</w:t>
            </w:r>
          </w:p>
        </w:tc>
        <w:tc>
          <w:tcPr>
            <w:tcW w:w="1066" w:type="dxa"/>
            <w:tcBorders>
              <w:bottom w:val="single" w:sz="4" w:space="0" w:color="A39892"/>
            </w:tcBorders>
          </w:tcPr>
          <w:p w:rsidR="00057E32" w:rsidRDefault="00EE3249" w:rsidP="003C24E0">
            <w:pPr>
              <w:pStyle w:val="TableText"/>
              <w:spacing w:before="40" w:after="24"/>
            </w:pPr>
            <w:r>
              <w:t>1</w:t>
            </w:r>
          </w:p>
        </w:tc>
        <w:tc>
          <w:tcPr>
            <w:tcW w:w="1065" w:type="dxa"/>
            <w:tcBorders>
              <w:bottom w:val="single" w:sz="4" w:space="0" w:color="A39892"/>
            </w:tcBorders>
          </w:tcPr>
          <w:p w:rsidR="00057E32" w:rsidRDefault="00EE3249" w:rsidP="003C24E0">
            <w:pPr>
              <w:pStyle w:val="TableText"/>
              <w:spacing w:before="40" w:after="24"/>
            </w:pPr>
            <w:r>
              <w:t>0</w:t>
            </w:r>
          </w:p>
        </w:tc>
        <w:tc>
          <w:tcPr>
            <w:tcW w:w="1066" w:type="dxa"/>
            <w:tcBorders>
              <w:bottom w:val="single" w:sz="4" w:space="0" w:color="A39892"/>
            </w:tcBorders>
          </w:tcPr>
          <w:p w:rsidR="00057E32" w:rsidRDefault="00EE3249" w:rsidP="003C24E0">
            <w:pPr>
              <w:pStyle w:val="TableText"/>
              <w:spacing w:before="40" w:after="24"/>
            </w:pPr>
            <w:r>
              <w:t>0</w:t>
            </w:r>
          </w:p>
        </w:tc>
        <w:tc>
          <w:tcPr>
            <w:tcW w:w="1065" w:type="dxa"/>
            <w:tcBorders>
              <w:bottom w:val="single" w:sz="4" w:space="0" w:color="A39892"/>
            </w:tcBorders>
          </w:tcPr>
          <w:p w:rsidR="00057E32" w:rsidRDefault="00EE3249" w:rsidP="003C24E0">
            <w:pPr>
              <w:pStyle w:val="TableText"/>
              <w:spacing w:before="40" w:after="24"/>
            </w:pPr>
            <w:r>
              <w:t>0</w:t>
            </w:r>
          </w:p>
        </w:tc>
        <w:tc>
          <w:tcPr>
            <w:tcW w:w="1066" w:type="dxa"/>
            <w:tcBorders>
              <w:bottom w:val="single" w:sz="4" w:space="0" w:color="A39892"/>
            </w:tcBorders>
          </w:tcPr>
          <w:p w:rsidR="00057E32" w:rsidRDefault="00EE3249" w:rsidP="003C24E0">
            <w:pPr>
              <w:pStyle w:val="TableText"/>
              <w:spacing w:before="40" w:after="24"/>
            </w:pPr>
            <w:r>
              <w:t>1</w:t>
            </w:r>
          </w:p>
        </w:tc>
      </w:tr>
      <w:tr w:rsidR="00057E32" w:rsidTr="00057E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555" w:type="dxa"/>
            <w:tcBorders>
              <w:top w:val="single" w:sz="4" w:space="0" w:color="A39892"/>
              <w:left w:val="single" w:sz="4" w:space="0" w:color="A39892"/>
              <w:bottom w:val="nil"/>
              <w:right w:val="single" w:sz="4" w:space="0" w:color="A39892"/>
            </w:tcBorders>
          </w:tcPr>
          <w:p w:rsidR="00057E32" w:rsidRDefault="00057E32" w:rsidP="003C24E0">
            <w:pPr>
              <w:pStyle w:val="TableText"/>
              <w:spacing w:before="40" w:after="24"/>
            </w:pPr>
            <w:r>
              <w:t>EL 1</w:t>
            </w:r>
          </w:p>
        </w:tc>
        <w:tc>
          <w:tcPr>
            <w:tcW w:w="1065" w:type="dxa"/>
            <w:tcBorders>
              <w:top w:val="single" w:sz="4" w:space="0" w:color="A39892"/>
              <w:left w:val="single" w:sz="4" w:space="0" w:color="A39892"/>
              <w:bottom w:val="single" w:sz="4" w:space="0" w:color="A39892"/>
              <w:right w:val="single" w:sz="4" w:space="0" w:color="A39892"/>
            </w:tcBorders>
          </w:tcPr>
          <w:p w:rsidR="00057E32" w:rsidRDefault="00057E32" w:rsidP="003C24E0">
            <w:pPr>
              <w:pStyle w:val="TableText"/>
              <w:spacing w:before="40" w:after="24"/>
            </w:pPr>
            <w:r>
              <w:t>Male</w:t>
            </w:r>
          </w:p>
        </w:tc>
        <w:tc>
          <w:tcPr>
            <w:tcW w:w="1066" w:type="dxa"/>
            <w:tcBorders>
              <w:top w:val="single" w:sz="4" w:space="0" w:color="A39892"/>
              <w:left w:val="single" w:sz="4" w:space="0" w:color="A39892"/>
              <w:bottom w:val="single" w:sz="4" w:space="0" w:color="A39892"/>
              <w:right w:val="single" w:sz="4" w:space="0" w:color="A39892"/>
            </w:tcBorders>
          </w:tcPr>
          <w:p w:rsidR="00057E32" w:rsidRDefault="00EE3249" w:rsidP="003C24E0">
            <w:pPr>
              <w:pStyle w:val="TableText"/>
              <w:spacing w:before="40" w:after="24"/>
            </w:pPr>
            <w:r>
              <w:t>3</w:t>
            </w:r>
          </w:p>
        </w:tc>
        <w:tc>
          <w:tcPr>
            <w:tcW w:w="1065" w:type="dxa"/>
            <w:tcBorders>
              <w:top w:val="single" w:sz="4" w:space="0" w:color="A39892"/>
              <w:left w:val="single" w:sz="4" w:space="0" w:color="A39892"/>
              <w:bottom w:val="single" w:sz="4" w:space="0" w:color="A39892"/>
              <w:right w:val="single" w:sz="4" w:space="0" w:color="A39892"/>
            </w:tcBorders>
          </w:tcPr>
          <w:p w:rsidR="00057E32" w:rsidRDefault="00EE3249" w:rsidP="003C24E0">
            <w:pPr>
              <w:pStyle w:val="TableText"/>
              <w:spacing w:before="40" w:after="24"/>
            </w:pPr>
            <w:r>
              <w:t>0</w:t>
            </w:r>
          </w:p>
        </w:tc>
        <w:tc>
          <w:tcPr>
            <w:tcW w:w="1066" w:type="dxa"/>
            <w:tcBorders>
              <w:top w:val="single" w:sz="4" w:space="0" w:color="A39892"/>
              <w:left w:val="single" w:sz="4" w:space="0" w:color="A39892"/>
              <w:bottom w:val="single" w:sz="4" w:space="0" w:color="A39892"/>
              <w:right w:val="single" w:sz="4" w:space="0" w:color="A39892"/>
            </w:tcBorders>
          </w:tcPr>
          <w:p w:rsidR="00057E32" w:rsidRDefault="00EE3249" w:rsidP="003C24E0">
            <w:pPr>
              <w:pStyle w:val="TableText"/>
              <w:spacing w:before="40" w:after="24"/>
            </w:pPr>
            <w:r>
              <w:t>0</w:t>
            </w:r>
          </w:p>
        </w:tc>
        <w:tc>
          <w:tcPr>
            <w:tcW w:w="1065" w:type="dxa"/>
            <w:tcBorders>
              <w:top w:val="single" w:sz="4" w:space="0" w:color="A39892"/>
              <w:left w:val="single" w:sz="4" w:space="0" w:color="A39892"/>
              <w:bottom w:val="single" w:sz="4" w:space="0" w:color="A39892"/>
              <w:right w:val="single" w:sz="4" w:space="0" w:color="A39892"/>
            </w:tcBorders>
          </w:tcPr>
          <w:p w:rsidR="00057E32" w:rsidRDefault="00EE3249" w:rsidP="003C24E0">
            <w:pPr>
              <w:pStyle w:val="TableText"/>
              <w:spacing w:before="40" w:after="24"/>
            </w:pPr>
            <w:r>
              <w:t>0</w:t>
            </w:r>
          </w:p>
        </w:tc>
        <w:tc>
          <w:tcPr>
            <w:tcW w:w="1066" w:type="dxa"/>
            <w:tcBorders>
              <w:top w:val="single" w:sz="4" w:space="0" w:color="A39892"/>
              <w:left w:val="single" w:sz="4" w:space="0" w:color="A39892"/>
              <w:bottom w:val="single" w:sz="4" w:space="0" w:color="A39892"/>
              <w:right w:val="single" w:sz="4" w:space="0" w:color="A39892"/>
            </w:tcBorders>
          </w:tcPr>
          <w:p w:rsidR="00057E32" w:rsidRDefault="00EE3249" w:rsidP="003C24E0">
            <w:pPr>
              <w:pStyle w:val="TableText"/>
              <w:spacing w:before="40" w:after="24"/>
            </w:pPr>
            <w:r>
              <w:t>4</w:t>
            </w:r>
          </w:p>
        </w:tc>
      </w:tr>
      <w:tr w:rsidR="00057E32" w:rsidTr="00057E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555" w:type="dxa"/>
            <w:tcBorders>
              <w:top w:val="nil"/>
              <w:left w:val="single" w:sz="4" w:space="0" w:color="A39892"/>
              <w:bottom w:val="nil"/>
              <w:right w:val="single" w:sz="4" w:space="0" w:color="A39892"/>
            </w:tcBorders>
          </w:tcPr>
          <w:p w:rsidR="00057E32" w:rsidRDefault="00057E32" w:rsidP="003C24E0">
            <w:pPr>
              <w:pStyle w:val="TableText"/>
              <w:spacing w:before="40" w:after="24"/>
            </w:pPr>
          </w:p>
        </w:tc>
        <w:tc>
          <w:tcPr>
            <w:tcW w:w="1065" w:type="dxa"/>
            <w:tcBorders>
              <w:top w:val="single" w:sz="4" w:space="0" w:color="A39892"/>
              <w:left w:val="single" w:sz="4" w:space="0" w:color="A39892"/>
              <w:bottom w:val="single" w:sz="4" w:space="0" w:color="A39892"/>
              <w:right w:val="single" w:sz="4" w:space="0" w:color="A39892"/>
            </w:tcBorders>
          </w:tcPr>
          <w:p w:rsidR="00057E32" w:rsidRDefault="00057E32" w:rsidP="003C24E0">
            <w:pPr>
              <w:pStyle w:val="TableText"/>
              <w:spacing w:before="40" w:after="24"/>
            </w:pPr>
            <w:r>
              <w:t>Female</w:t>
            </w:r>
          </w:p>
        </w:tc>
        <w:tc>
          <w:tcPr>
            <w:tcW w:w="1066" w:type="dxa"/>
            <w:tcBorders>
              <w:top w:val="single" w:sz="4" w:space="0" w:color="A39892"/>
              <w:left w:val="single" w:sz="4" w:space="0" w:color="A39892"/>
              <w:bottom w:val="single" w:sz="4" w:space="0" w:color="A39892"/>
              <w:right w:val="single" w:sz="4" w:space="0" w:color="A39892"/>
            </w:tcBorders>
          </w:tcPr>
          <w:p w:rsidR="00057E32" w:rsidRDefault="00EE3249" w:rsidP="003C24E0">
            <w:pPr>
              <w:pStyle w:val="TableText"/>
              <w:spacing w:before="40" w:after="24"/>
            </w:pPr>
            <w:r>
              <w:t>1.4</w:t>
            </w:r>
          </w:p>
        </w:tc>
        <w:tc>
          <w:tcPr>
            <w:tcW w:w="1065" w:type="dxa"/>
            <w:tcBorders>
              <w:top w:val="single" w:sz="4" w:space="0" w:color="A39892"/>
              <w:left w:val="single" w:sz="4" w:space="0" w:color="A39892"/>
              <w:bottom w:val="single" w:sz="4" w:space="0" w:color="A39892"/>
              <w:right w:val="single" w:sz="4" w:space="0" w:color="A39892"/>
            </w:tcBorders>
          </w:tcPr>
          <w:p w:rsidR="00057E32" w:rsidRDefault="00EE3249" w:rsidP="003C24E0">
            <w:pPr>
              <w:pStyle w:val="TableText"/>
              <w:spacing w:before="40" w:after="24"/>
            </w:pPr>
            <w:r>
              <w:t>0</w:t>
            </w:r>
          </w:p>
        </w:tc>
        <w:tc>
          <w:tcPr>
            <w:tcW w:w="1066" w:type="dxa"/>
            <w:tcBorders>
              <w:top w:val="single" w:sz="4" w:space="0" w:color="A39892"/>
              <w:left w:val="single" w:sz="4" w:space="0" w:color="A39892"/>
              <w:bottom w:val="single" w:sz="4" w:space="0" w:color="A39892"/>
              <w:right w:val="single" w:sz="4" w:space="0" w:color="A39892"/>
            </w:tcBorders>
          </w:tcPr>
          <w:p w:rsidR="00057E32" w:rsidRDefault="00EE3249" w:rsidP="003C24E0">
            <w:pPr>
              <w:pStyle w:val="TableText"/>
              <w:spacing w:before="40" w:after="24"/>
            </w:pPr>
            <w:r>
              <w:t>1</w:t>
            </w:r>
          </w:p>
        </w:tc>
        <w:tc>
          <w:tcPr>
            <w:tcW w:w="1065" w:type="dxa"/>
            <w:tcBorders>
              <w:top w:val="single" w:sz="4" w:space="0" w:color="A39892"/>
              <w:left w:val="single" w:sz="4" w:space="0" w:color="A39892"/>
              <w:bottom w:val="single" w:sz="4" w:space="0" w:color="A39892"/>
              <w:right w:val="single" w:sz="4" w:space="0" w:color="A39892"/>
            </w:tcBorders>
          </w:tcPr>
          <w:p w:rsidR="00057E32" w:rsidRDefault="00EE3249" w:rsidP="003C24E0">
            <w:pPr>
              <w:pStyle w:val="TableText"/>
              <w:spacing w:before="40" w:after="24"/>
            </w:pPr>
            <w:r>
              <w:t>1</w:t>
            </w:r>
          </w:p>
        </w:tc>
        <w:tc>
          <w:tcPr>
            <w:tcW w:w="1066" w:type="dxa"/>
            <w:tcBorders>
              <w:top w:val="single" w:sz="4" w:space="0" w:color="A39892"/>
              <w:left w:val="single" w:sz="4" w:space="0" w:color="A39892"/>
              <w:bottom w:val="single" w:sz="4" w:space="0" w:color="A39892"/>
              <w:right w:val="single" w:sz="4" w:space="0" w:color="A39892"/>
            </w:tcBorders>
          </w:tcPr>
          <w:p w:rsidR="00057E32" w:rsidRDefault="00EE3249" w:rsidP="003C24E0">
            <w:pPr>
              <w:pStyle w:val="TableText"/>
              <w:spacing w:before="40" w:after="24"/>
            </w:pPr>
            <w:r>
              <w:t>2.4</w:t>
            </w:r>
          </w:p>
        </w:tc>
      </w:tr>
      <w:tr w:rsidR="00057E32" w:rsidTr="00057E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555" w:type="dxa"/>
            <w:tcBorders>
              <w:top w:val="nil"/>
              <w:left w:val="single" w:sz="4" w:space="0" w:color="A39892"/>
              <w:bottom w:val="single" w:sz="4" w:space="0" w:color="A39892"/>
              <w:right w:val="single" w:sz="4" w:space="0" w:color="A39892"/>
            </w:tcBorders>
          </w:tcPr>
          <w:p w:rsidR="00057E32" w:rsidRDefault="00057E32" w:rsidP="003C24E0">
            <w:pPr>
              <w:pStyle w:val="TableText"/>
              <w:spacing w:before="40" w:after="24"/>
            </w:pPr>
          </w:p>
        </w:tc>
        <w:tc>
          <w:tcPr>
            <w:tcW w:w="1065" w:type="dxa"/>
            <w:tcBorders>
              <w:top w:val="single" w:sz="4" w:space="0" w:color="A39892"/>
              <w:left w:val="single" w:sz="4" w:space="0" w:color="A39892"/>
              <w:bottom w:val="single" w:sz="4" w:space="0" w:color="A39892"/>
              <w:right w:val="single" w:sz="4" w:space="0" w:color="A39892"/>
            </w:tcBorders>
          </w:tcPr>
          <w:p w:rsidR="00057E32" w:rsidRDefault="00057E32" w:rsidP="003C24E0">
            <w:pPr>
              <w:pStyle w:val="TableText"/>
              <w:spacing w:before="40" w:after="24"/>
            </w:pPr>
            <w:r>
              <w:t>Total</w:t>
            </w:r>
          </w:p>
        </w:tc>
        <w:tc>
          <w:tcPr>
            <w:tcW w:w="1066" w:type="dxa"/>
            <w:tcBorders>
              <w:top w:val="single" w:sz="4" w:space="0" w:color="A39892"/>
              <w:left w:val="single" w:sz="4" w:space="0" w:color="A39892"/>
              <w:bottom w:val="single" w:sz="4" w:space="0" w:color="A39892"/>
              <w:right w:val="single" w:sz="4" w:space="0" w:color="A39892"/>
            </w:tcBorders>
          </w:tcPr>
          <w:p w:rsidR="00057E32" w:rsidRDefault="00EE3249" w:rsidP="003C24E0">
            <w:pPr>
              <w:pStyle w:val="TableText"/>
              <w:spacing w:before="40" w:after="24"/>
            </w:pPr>
            <w:r>
              <w:t>4.4</w:t>
            </w:r>
          </w:p>
        </w:tc>
        <w:tc>
          <w:tcPr>
            <w:tcW w:w="1065" w:type="dxa"/>
            <w:tcBorders>
              <w:top w:val="single" w:sz="4" w:space="0" w:color="A39892"/>
              <w:left w:val="single" w:sz="4" w:space="0" w:color="A39892"/>
              <w:bottom w:val="single" w:sz="4" w:space="0" w:color="A39892"/>
              <w:right w:val="single" w:sz="4" w:space="0" w:color="A39892"/>
            </w:tcBorders>
          </w:tcPr>
          <w:p w:rsidR="00057E32" w:rsidRDefault="00EE3249" w:rsidP="003C24E0">
            <w:pPr>
              <w:pStyle w:val="TableText"/>
              <w:spacing w:before="40" w:after="24"/>
            </w:pPr>
            <w:r>
              <w:t>0</w:t>
            </w:r>
          </w:p>
        </w:tc>
        <w:tc>
          <w:tcPr>
            <w:tcW w:w="1066" w:type="dxa"/>
            <w:tcBorders>
              <w:top w:val="single" w:sz="4" w:space="0" w:color="A39892"/>
              <w:left w:val="single" w:sz="4" w:space="0" w:color="A39892"/>
              <w:bottom w:val="single" w:sz="4" w:space="0" w:color="A39892"/>
              <w:right w:val="single" w:sz="4" w:space="0" w:color="A39892"/>
            </w:tcBorders>
          </w:tcPr>
          <w:p w:rsidR="00057E32" w:rsidRDefault="00EE3249" w:rsidP="003C24E0">
            <w:pPr>
              <w:pStyle w:val="TableText"/>
              <w:spacing w:before="40" w:after="24"/>
            </w:pPr>
            <w:r>
              <w:t>1</w:t>
            </w:r>
          </w:p>
        </w:tc>
        <w:tc>
          <w:tcPr>
            <w:tcW w:w="1065" w:type="dxa"/>
            <w:tcBorders>
              <w:top w:val="single" w:sz="4" w:space="0" w:color="A39892"/>
              <w:left w:val="single" w:sz="4" w:space="0" w:color="A39892"/>
              <w:bottom w:val="single" w:sz="4" w:space="0" w:color="A39892"/>
              <w:right w:val="single" w:sz="4" w:space="0" w:color="A39892"/>
            </w:tcBorders>
          </w:tcPr>
          <w:p w:rsidR="00057E32" w:rsidRDefault="00EE3249" w:rsidP="003C24E0">
            <w:pPr>
              <w:pStyle w:val="TableText"/>
              <w:spacing w:before="40" w:after="24"/>
            </w:pPr>
            <w:r>
              <w:t>1</w:t>
            </w:r>
          </w:p>
        </w:tc>
        <w:tc>
          <w:tcPr>
            <w:tcW w:w="1066" w:type="dxa"/>
            <w:tcBorders>
              <w:top w:val="single" w:sz="4" w:space="0" w:color="A39892"/>
              <w:left w:val="single" w:sz="4" w:space="0" w:color="A39892"/>
              <w:bottom w:val="single" w:sz="4" w:space="0" w:color="A39892"/>
              <w:right w:val="single" w:sz="4" w:space="0" w:color="A39892"/>
            </w:tcBorders>
          </w:tcPr>
          <w:p w:rsidR="00057E32" w:rsidRDefault="00EE3249" w:rsidP="003C24E0">
            <w:pPr>
              <w:pStyle w:val="TableText"/>
              <w:spacing w:before="40" w:after="24"/>
            </w:pPr>
            <w:r>
              <w:t>6.4</w:t>
            </w:r>
          </w:p>
        </w:tc>
      </w:tr>
      <w:tr w:rsidR="00057E32" w:rsidTr="00057E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555" w:type="dxa"/>
            <w:tcBorders>
              <w:top w:val="single" w:sz="4" w:space="0" w:color="A39892"/>
              <w:left w:val="single" w:sz="4" w:space="0" w:color="A39892"/>
              <w:bottom w:val="nil"/>
              <w:right w:val="single" w:sz="4" w:space="0" w:color="A39892"/>
            </w:tcBorders>
          </w:tcPr>
          <w:p w:rsidR="00057E32" w:rsidRDefault="00057E32" w:rsidP="003C24E0">
            <w:pPr>
              <w:pStyle w:val="TableText"/>
              <w:spacing w:before="40" w:after="24"/>
            </w:pPr>
            <w:r>
              <w:t>APS 6</w:t>
            </w:r>
          </w:p>
        </w:tc>
        <w:tc>
          <w:tcPr>
            <w:tcW w:w="1065" w:type="dxa"/>
            <w:tcBorders>
              <w:top w:val="single" w:sz="4" w:space="0" w:color="A39892"/>
              <w:left w:val="single" w:sz="4" w:space="0" w:color="A39892"/>
              <w:bottom w:val="single" w:sz="4" w:space="0" w:color="A39892"/>
              <w:right w:val="single" w:sz="4" w:space="0" w:color="A39892"/>
            </w:tcBorders>
          </w:tcPr>
          <w:p w:rsidR="00057E32" w:rsidRDefault="00057E32" w:rsidP="003C24E0">
            <w:pPr>
              <w:pStyle w:val="TableText"/>
              <w:spacing w:before="40" w:after="24"/>
            </w:pPr>
            <w:r>
              <w:t>Male</w:t>
            </w:r>
          </w:p>
        </w:tc>
        <w:tc>
          <w:tcPr>
            <w:tcW w:w="1066" w:type="dxa"/>
            <w:tcBorders>
              <w:top w:val="single" w:sz="4" w:space="0" w:color="A39892"/>
              <w:left w:val="single" w:sz="4" w:space="0" w:color="A39892"/>
              <w:bottom w:val="single" w:sz="4" w:space="0" w:color="A39892"/>
              <w:right w:val="single" w:sz="4" w:space="0" w:color="A39892"/>
            </w:tcBorders>
          </w:tcPr>
          <w:p w:rsidR="00057E32" w:rsidRDefault="00EE3249" w:rsidP="003C24E0">
            <w:pPr>
              <w:pStyle w:val="TableText"/>
              <w:spacing w:before="40" w:after="24"/>
            </w:pPr>
            <w:r>
              <w:t>1</w:t>
            </w:r>
          </w:p>
        </w:tc>
        <w:tc>
          <w:tcPr>
            <w:tcW w:w="1065" w:type="dxa"/>
            <w:tcBorders>
              <w:top w:val="single" w:sz="4" w:space="0" w:color="A39892"/>
              <w:left w:val="single" w:sz="4" w:space="0" w:color="A39892"/>
              <w:bottom w:val="single" w:sz="4" w:space="0" w:color="A39892"/>
              <w:right w:val="single" w:sz="4" w:space="0" w:color="A39892"/>
            </w:tcBorders>
          </w:tcPr>
          <w:p w:rsidR="00057E32" w:rsidRDefault="00EE3249" w:rsidP="003C24E0">
            <w:pPr>
              <w:pStyle w:val="TableText"/>
              <w:spacing w:before="40" w:after="24"/>
            </w:pPr>
            <w:r>
              <w:t>0</w:t>
            </w:r>
          </w:p>
        </w:tc>
        <w:tc>
          <w:tcPr>
            <w:tcW w:w="1066" w:type="dxa"/>
            <w:tcBorders>
              <w:top w:val="single" w:sz="4" w:space="0" w:color="A39892"/>
              <w:left w:val="single" w:sz="4" w:space="0" w:color="A39892"/>
              <w:bottom w:val="single" w:sz="4" w:space="0" w:color="A39892"/>
              <w:right w:val="single" w:sz="4" w:space="0" w:color="A39892"/>
            </w:tcBorders>
          </w:tcPr>
          <w:p w:rsidR="00057E32" w:rsidRDefault="00EE3249" w:rsidP="003C24E0">
            <w:pPr>
              <w:pStyle w:val="TableText"/>
              <w:spacing w:before="40" w:after="24"/>
            </w:pPr>
            <w:r>
              <w:t>0</w:t>
            </w:r>
          </w:p>
        </w:tc>
        <w:tc>
          <w:tcPr>
            <w:tcW w:w="1065" w:type="dxa"/>
            <w:tcBorders>
              <w:top w:val="single" w:sz="4" w:space="0" w:color="A39892"/>
              <w:left w:val="single" w:sz="4" w:space="0" w:color="A39892"/>
              <w:bottom w:val="single" w:sz="4" w:space="0" w:color="A39892"/>
              <w:right w:val="single" w:sz="4" w:space="0" w:color="A39892"/>
            </w:tcBorders>
          </w:tcPr>
          <w:p w:rsidR="00057E32" w:rsidRDefault="00EE3249" w:rsidP="003C24E0">
            <w:pPr>
              <w:pStyle w:val="TableText"/>
              <w:spacing w:before="40" w:after="24"/>
            </w:pPr>
            <w:r>
              <w:t>0</w:t>
            </w:r>
          </w:p>
        </w:tc>
        <w:tc>
          <w:tcPr>
            <w:tcW w:w="1066" w:type="dxa"/>
            <w:tcBorders>
              <w:top w:val="single" w:sz="4" w:space="0" w:color="A39892"/>
              <w:left w:val="single" w:sz="4" w:space="0" w:color="A39892"/>
              <w:bottom w:val="single" w:sz="4" w:space="0" w:color="A39892"/>
              <w:right w:val="single" w:sz="4" w:space="0" w:color="A39892"/>
            </w:tcBorders>
          </w:tcPr>
          <w:p w:rsidR="00057E32" w:rsidRDefault="00EE3249" w:rsidP="003C24E0">
            <w:pPr>
              <w:pStyle w:val="TableText"/>
              <w:spacing w:before="40" w:after="24"/>
            </w:pPr>
            <w:r>
              <w:t>1</w:t>
            </w:r>
          </w:p>
        </w:tc>
      </w:tr>
      <w:tr w:rsidR="00057E32" w:rsidTr="00057E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555" w:type="dxa"/>
            <w:tcBorders>
              <w:top w:val="nil"/>
              <w:left w:val="single" w:sz="4" w:space="0" w:color="A39892"/>
              <w:bottom w:val="nil"/>
              <w:right w:val="single" w:sz="4" w:space="0" w:color="A39892"/>
            </w:tcBorders>
          </w:tcPr>
          <w:p w:rsidR="00057E32" w:rsidRDefault="00057E32" w:rsidP="003C24E0">
            <w:pPr>
              <w:pStyle w:val="TableText"/>
              <w:spacing w:before="40" w:after="24"/>
            </w:pPr>
          </w:p>
        </w:tc>
        <w:tc>
          <w:tcPr>
            <w:tcW w:w="1065" w:type="dxa"/>
            <w:tcBorders>
              <w:top w:val="single" w:sz="4" w:space="0" w:color="A39892"/>
              <w:left w:val="single" w:sz="4" w:space="0" w:color="A39892"/>
              <w:bottom w:val="single" w:sz="4" w:space="0" w:color="A39892"/>
              <w:right w:val="single" w:sz="4" w:space="0" w:color="A39892"/>
            </w:tcBorders>
          </w:tcPr>
          <w:p w:rsidR="00057E32" w:rsidRDefault="00057E32" w:rsidP="003C24E0">
            <w:pPr>
              <w:pStyle w:val="TableText"/>
              <w:spacing w:before="40" w:after="24"/>
            </w:pPr>
            <w:r>
              <w:t>Female</w:t>
            </w:r>
          </w:p>
        </w:tc>
        <w:tc>
          <w:tcPr>
            <w:tcW w:w="1066" w:type="dxa"/>
            <w:tcBorders>
              <w:top w:val="single" w:sz="4" w:space="0" w:color="A39892"/>
              <w:left w:val="single" w:sz="4" w:space="0" w:color="A39892"/>
              <w:bottom w:val="single" w:sz="4" w:space="0" w:color="A39892"/>
              <w:right w:val="single" w:sz="4" w:space="0" w:color="A39892"/>
            </w:tcBorders>
          </w:tcPr>
          <w:p w:rsidR="00057E32" w:rsidRDefault="00EE3249" w:rsidP="003C24E0">
            <w:pPr>
              <w:pStyle w:val="TableText"/>
              <w:spacing w:before="40" w:after="24"/>
            </w:pPr>
            <w:r>
              <w:t>1</w:t>
            </w:r>
          </w:p>
        </w:tc>
        <w:tc>
          <w:tcPr>
            <w:tcW w:w="1065" w:type="dxa"/>
            <w:tcBorders>
              <w:top w:val="single" w:sz="4" w:space="0" w:color="A39892"/>
              <w:left w:val="single" w:sz="4" w:space="0" w:color="A39892"/>
              <w:bottom w:val="single" w:sz="4" w:space="0" w:color="A39892"/>
              <w:right w:val="single" w:sz="4" w:space="0" w:color="A39892"/>
            </w:tcBorders>
          </w:tcPr>
          <w:p w:rsidR="00057E32" w:rsidRDefault="00EE3249" w:rsidP="003C24E0">
            <w:pPr>
              <w:pStyle w:val="TableText"/>
              <w:spacing w:before="40" w:after="24"/>
            </w:pPr>
            <w:r>
              <w:t>0</w:t>
            </w:r>
          </w:p>
        </w:tc>
        <w:tc>
          <w:tcPr>
            <w:tcW w:w="1066" w:type="dxa"/>
            <w:tcBorders>
              <w:top w:val="single" w:sz="4" w:space="0" w:color="A39892"/>
              <w:left w:val="single" w:sz="4" w:space="0" w:color="A39892"/>
              <w:bottom w:val="single" w:sz="4" w:space="0" w:color="A39892"/>
              <w:right w:val="single" w:sz="4" w:space="0" w:color="A39892"/>
            </w:tcBorders>
          </w:tcPr>
          <w:p w:rsidR="00057E32" w:rsidRDefault="00EE3249" w:rsidP="003C24E0">
            <w:pPr>
              <w:pStyle w:val="TableText"/>
              <w:spacing w:before="40" w:after="24"/>
            </w:pPr>
            <w:r>
              <w:t>1</w:t>
            </w:r>
          </w:p>
        </w:tc>
        <w:tc>
          <w:tcPr>
            <w:tcW w:w="1065" w:type="dxa"/>
            <w:tcBorders>
              <w:top w:val="single" w:sz="4" w:space="0" w:color="A39892"/>
              <w:left w:val="single" w:sz="4" w:space="0" w:color="A39892"/>
              <w:bottom w:val="single" w:sz="4" w:space="0" w:color="A39892"/>
              <w:right w:val="single" w:sz="4" w:space="0" w:color="A39892"/>
            </w:tcBorders>
          </w:tcPr>
          <w:p w:rsidR="00057E32" w:rsidRDefault="00EE3249" w:rsidP="003C24E0">
            <w:pPr>
              <w:pStyle w:val="TableText"/>
              <w:spacing w:before="40" w:after="24"/>
            </w:pPr>
            <w:r>
              <w:t>0</w:t>
            </w:r>
          </w:p>
        </w:tc>
        <w:tc>
          <w:tcPr>
            <w:tcW w:w="1066" w:type="dxa"/>
            <w:tcBorders>
              <w:top w:val="single" w:sz="4" w:space="0" w:color="A39892"/>
              <w:left w:val="single" w:sz="4" w:space="0" w:color="A39892"/>
              <w:bottom w:val="single" w:sz="4" w:space="0" w:color="A39892"/>
              <w:right w:val="single" w:sz="4" w:space="0" w:color="A39892"/>
            </w:tcBorders>
          </w:tcPr>
          <w:p w:rsidR="00057E32" w:rsidRDefault="00EE3249" w:rsidP="003C24E0">
            <w:pPr>
              <w:pStyle w:val="TableText"/>
              <w:spacing w:before="40" w:after="24"/>
            </w:pPr>
            <w:r>
              <w:t>2</w:t>
            </w:r>
          </w:p>
        </w:tc>
      </w:tr>
      <w:tr w:rsidR="00057E32" w:rsidTr="00057E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555" w:type="dxa"/>
            <w:tcBorders>
              <w:top w:val="nil"/>
              <w:left w:val="single" w:sz="4" w:space="0" w:color="A39892"/>
              <w:bottom w:val="single" w:sz="4" w:space="0" w:color="A39892"/>
              <w:right w:val="single" w:sz="4" w:space="0" w:color="A39892"/>
            </w:tcBorders>
          </w:tcPr>
          <w:p w:rsidR="00057E32" w:rsidRDefault="00057E32" w:rsidP="003C24E0">
            <w:pPr>
              <w:pStyle w:val="TableText"/>
              <w:spacing w:before="40" w:after="24"/>
            </w:pPr>
          </w:p>
        </w:tc>
        <w:tc>
          <w:tcPr>
            <w:tcW w:w="1065" w:type="dxa"/>
            <w:tcBorders>
              <w:top w:val="single" w:sz="4" w:space="0" w:color="A39892"/>
              <w:left w:val="single" w:sz="4" w:space="0" w:color="A39892"/>
              <w:bottom w:val="single" w:sz="4" w:space="0" w:color="A39892"/>
              <w:right w:val="single" w:sz="4" w:space="0" w:color="A39892"/>
            </w:tcBorders>
          </w:tcPr>
          <w:p w:rsidR="00057E32" w:rsidRDefault="00057E32" w:rsidP="003C24E0">
            <w:pPr>
              <w:pStyle w:val="TableText"/>
              <w:spacing w:before="40" w:after="24"/>
            </w:pPr>
            <w:r>
              <w:t>Total</w:t>
            </w:r>
          </w:p>
        </w:tc>
        <w:tc>
          <w:tcPr>
            <w:tcW w:w="1066" w:type="dxa"/>
            <w:tcBorders>
              <w:top w:val="single" w:sz="4" w:space="0" w:color="A39892"/>
              <w:left w:val="single" w:sz="4" w:space="0" w:color="A39892"/>
              <w:bottom w:val="single" w:sz="4" w:space="0" w:color="A39892"/>
              <w:right w:val="single" w:sz="4" w:space="0" w:color="A39892"/>
            </w:tcBorders>
          </w:tcPr>
          <w:p w:rsidR="00057E32" w:rsidRDefault="0001461A" w:rsidP="003C24E0">
            <w:pPr>
              <w:pStyle w:val="TableText"/>
              <w:spacing w:before="40" w:after="24"/>
            </w:pPr>
            <w:r>
              <w:t>2</w:t>
            </w:r>
          </w:p>
        </w:tc>
        <w:tc>
          <w:tcPr>
            <w:tcW w:w="1065" w:type="dxa"/>
            <w:tcBorders>
              <w:top w:val="single" w:sz="4" w:space="0" w:color="A39892"/>
              <w:left w:val="single" w:sz="4" w:space="0" w:color="A39892"/>
              <w:bottom w:val="single" w:sz="4" w:space="0" w:color="A39892"/>
              <w:right w:val="single" w:sz="4" w:space="0" w:color="A39892"/>
            </w:tcBorders>
          </w:tcPr>
          <w:p w:rsidR="00057E32" w:rsidRDefault="0001461A" w:rsidP="003C24E0">
            <w:pPr>
              <w:pStyle w:val="TableText"/>
              <w:spacing w:before="40" w:after="24"/>
            </w:pPr>
            <w:r>
              <w:t>0</w:t>
            </w:r>
          </w:p>
        </w:tc>
        <w:tc>
          <w:tcPr>
            <w:tcW w:w="1066" w:type="dxa"/>
            <w:tcBorders>
              <w:top w:val="single" w:sz="4" w:space="0" w:color="A39892"/>
              <w:left w:val="single" w:sz="4" w:space="0" w:color="A39892"/>
              <w:bottom w:val="single" w:sz="4" w:space="0" w:color="A39892"/>
              <w:right w:val="single" w:sz="4" w:space="0" w:color="A39892"/>
            </w:tcBorders>
          </w:tcPr>
          <w:p w:rsidR="00057E32" w:rsidRDefault="0001461A" w:rsidP="003C24E0">
            <w:pPr>
              <w:pStyle w:val="TableText"/>
              <w:spacing w:before="40" w:after="24"/>
            </w:pPr>
            <w:r>
              <w:t>1</w:t>
            </w:r>
          </w:p>
        </w:tc>
        <w:tc>
          <w:tcPr>
            <w:tcW w:w="1065" w:type="dxa"/>
            <w:tcBorders>
              <w:top w:val="single" w:sz="4" w:space="0" w:color="A39892"/>
              <w:left w:val="single" w:sz="4" w:space="0" w:color="A39892"/>
              <w:bottom w:val="single" w:sz="4" w:space="0" w:color="A39892"/>
              <w:right w:val="single" w:sz="4" w:space="0" w:color="A39892"/>
            </w:tcBorders>
          </w:tcPr>
          <w:p w:rsidR="00057E32" w:rsidRDefault="0001461A" w:rsidP="003C24E0">
            <w:pPr>
              <w:pStyle w:val="TableText"/>
              <w:spacing w:before="40" w:after="24"/>
            </w:pPr>
            <w:r>
              <w:t>0</w:t>
            </w:r>
          </w:p>
        </w:tc>
        <w:tc>
          <w:tcPr>
            <w:tcW w:w="1066" w:type="dxa"/>
            <w:tcBorders>
              <w:top w:val="single" w:sz="4" w:space="0" w:color="A39892"/>
              <w:left w:val="single" w:sz="4" w:space="0" w:color="A39892"/>
              <w:bottom w:val="single" w:sz="4" w:space="0" w:color="A39892"/>
              <w:right w:val="single" w:sz="4" w:space="0" w:color="A39892"/>
            </w:tcBorders>
          </w:tcPr>
          <w:p w:rsidR="00057E32" w:rsidRDefault="0001461A" w:rsidP="003C24E0">
            <w:pPr>
              <w:pStyle w:val="TableText"/>
              <w:spacing w:before="40" w:after="24"/>
            </w:pPr>
            <w:r>
              <w:t>3</w:t>
            </w:r>
          </w:p>
        </w:tc>
      </w:tr>
      <w:tr w:rsidR="00057E32" w:rsidTr="00057E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555" w:type="dxa"/>
            <w:tcBorders>
              <w:top w:val="single" w:sz="4" w:space="0" w:color="A39892"/>
              <w:left w:val="single" w:sz="4" w:space="0" w:color="A39892"/>
              <w:bottom w:val="nil"/>
              <w:right w:val="single" w:sz="4" w:space="0" w:color="A39892"/>
            </w:tcBorders>
          </w:tcPr>
          <w:p w:rsidR="00057E32" w:rsidRDefault="00057E32" w:rsidP="003C24E0">
            <w:pPr>
              <w:pStyle w:val="TableText"/>
              <w:spacing w:before="40" w:after="24"/>
            </w:pPr>
            <w:r>
              <w:t>APS 5</w:t>
            </w:r>
          </w:p>
        </w:tc>
        <w:tc>
          <w:tcPr>
            <w:tcW w:w="1065" w:type="dxa"/>
            <w:tcBorders>
              <w:top w:val="single" w:sz="4" w:space="0" w:color="A39892"/>
              <w:left w:val="single" w:sz="4" w:space="0" w:color="A39892"/>
              <w:bottom w:val="single" w:sz="4" w:space="0" w:color="A39892"/>
              <w:right w:val="single" w:sz="4" w:space="0" w:color="A39892"/>
            </w:tcBorders>
          </w:tcPr>
          <w:p w:rsidR="00057E32" w:rsidRDefault="00057E32" w:rsidP="003C24E0">
            <w:pPr>
              <w:pStyle w:val="TableText"/>
              <w:spacing w:before="40" w:after="24"/>
            </w:pPr>
            <w:r>
              <w:t>Male</w:t>
            </w:r>
          </w:p>
        </w:tc>
        <w:tc>
          <w:tcPr>
            <w:tcW w:w="1066" w:type="dxa"/>
            <w:tcBorders>
              <w:top w:val="single" w:sz="4" w:space="0" w:color="A39892"/>
              <w:left w:val="single" w:sz="4" w:space="0" w:color="A39892"/>
              <w:bottom w:val="single" w:sz="4" w:space="0" w:color="A39892"/>
              <w:right w:val="single" w:sz="4" w:space="0" w:color="A39892"/>
            </w:tcBorders>
          </w:tcPr>
          <w:p w:rsidR="00057E32" w:rsidRDefault="0001461A" w:rsidP="003C24E0">
            <w:pPr>
              <w:pStyle w:val="TableText"/>
              <w:spacing w:before="40" w:after="24"/>
            </w:pPr>
            <w:r>
              <w:t>1</w:t>
            </w:r>
          </w:p>
        </w:tc>
        <w:tc>
          <w:tcPr>
            <w:tcW w:w="1065" w:type="dxa"/>
            <w:tcBorders>
              <w:top w:val="single" w:sz="4" w:space="0" w:color="A39892"/>
              <w:left w:val="single" w:sz="4" w:space="0" w:color="A39892"/>
              <w:bottom w:val="single" w:sz="4" w:space="0" w:color="A39892"/>
              <w:right w:val="single" w:sz="4" w:space="0" w:color="A39892"/>
            </w:tcBorders>
          </w:tcPr>
          <w:p w:rsidR="00057E32" w:rsidRDefault="0001461A" w:rsidP="003C24E0">
            <w:pPr>
              <w:pStyle w:val="TableText"/>
              <w:spacing w:before="40" w:after="24"/>
            </w:pPr>
            <w:r>
              <w:t>0</w:t>
            </w:r>
          </w:p>
        </w:tc>
        <w:tc>
          <w:tcPr>
            <w:tcW w:w="1066" w:type="dxa"/>
            <w:tcBorders>
              <w:top w:val="single" w:sz="4" w:space="0" w:color="A39892"/>
              <w:left w:val="single" w:sz="4" w:space="0" w:color="A39892"/>
              <w:bottom w:val="single" w:sz="4" w:space="0" w:color="A39892"/>
              <w:right w:val="single" w:sz="4" w:space="0" w:color="A39892"/>
            </w:tcBorders>
          </w:tcPr>
          <w:p w:rsidR="00057E32" w:rsidRDefault="0001461A" w:rsidP="003C24E0">
            <w:pPr>
              <w:pStyle w:val="TableText"/>
              <w:spacing w:before="40" w:after="24"/>
            </w:pPr>
            <w:r>
              <w:t>0</w:t>
            </w:r>
          </w:p>
        </w:tc>
        <w:tc>
          <w:tcPr>
            <w:tcW w:w="1065" w:type="dxa"/>
            <w:tcBorders>
              <w:top w:val="single" w:sz="4" w:space="0" w:color="A39892"/>
              <w:left w:val="single" w:sz="4" w:space="0" w:color="A39892"/>
              <w:bottom w:val="single" w:sz="4" w:space="0" w:color="A39892"/>
              <w:right w:val="single" w:sz="4" w:space="0" w:color="A39892"/>
            </w:tcBorders>
          </w:tcPr>
          <w:p w:rsidR="00057E32" w:rsidRDefault="0001461A" w:rsidP="003C24E0">
            <w:pPr>
              <w:pStyle w:val="TableText"/>
              <w:spacing w:before="40" w:after="24"/>
            </w:pPr>
            <w:r>
              <w:t>0</w:t>
            </w:r>
          </w:p>
        </w:tc>
        <w:tc>
          <w:tcPr>
            <w:tcW w:w="1066" w:type="dxa"/>
            <w:tcBorders>
              <w:top w:val="single" w:sz="4" w:space="0" w:color="A39892"/>
              <w:left w:val="single" w:sz="4" w:space="0" w:color="A39892"/>
              <w:bottom w:val="single" w:sz="4" w:space="0" w:color="A39892"/>
              <w:right w:val="single" w:sz="4" w:space="0" w:color="A39892"/>
            </w:tcBorders>
          </w:tcPr>
          <w:p w:rsidR="00057E32" w:rsidRDefault="0001461A" w:rsidP="003C24E0">
            <w:pPr>
              <w:pStyle w:val="TableText"/>
              <w:spacing w:before="40" w:after="24"/>
            </w:pPr>
            <w:r>
              <w:t>1</w:t>
            </w:r>
          </w:p>
        </w:tc>
      </w:tr>
      <w:tr w:rsidR="00057E32" w:rsidTr="00057E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555" w:type="dxa"/>
            <w:tcBorders>
              <w:top w:val="nil"/>
              <w:left w:val="single" w:sz="4" w:space="0" w:color="A39892"/>
              <w:bottom w:val="nil"/>
              <w:right w:val="single" w:sz="4" w:space="0" w:color="A39892"/>
            </w:tcBorders>
          </w:tcPr>
          <w:p w:rsidR="00057E32" w:rsidRDefault="00057E32" w:rsidP="003C24E0">
            <w:pPr>
              <w:pStyle w:val="TableText"/>
              <w:spacing w:before="40" w:after="24"/>
            </w:pPr>
          </w:p>
        </w:tc>
        <w:tc>
          <w:tcPr>
            <w:tcW w:w="1065" w:type="dxa"/>
            <w:tcBorders>
              <w:top w:val="single" w:sz="4" w:space="0" w:color="A39892"/>
              <w:left w:val="single" w:sz="4" w:space="0" w:color="A39892"/>
              <w:bottom w:val="single" w:sz="4" w:space="0" w:color="A39892"/>
              <w:right w:val="single" w:sz="4" w:space="0" w:color="A39892"/>
            </w:tcBorders>
          </w:tcPr>
          <w:p w:rsidR="00057E32" w:rsidRDefault="00057E32" w:rsidP="003C24E0">
            <w:pPr>
              <w:pStyle w:val="TableText"/>
              <w:spacing w:before="40" w:after="24"/>
            </w:pPr>
            <w:r>
              <w:t>Female</w:t>
            </w:r>
          </w:p>
        </w:tc>
        <w:tc>
          <w:tcPr>
            <w:tcW w:w="1066" w:type="dxa"/>
            <w:tcBorders>
              <w:top w:val="single" w:sz="4" w:space="0" w:color="A39892"/>
              <w:left w:val="single" w:sz="4" w:space="0" w:color="A39892"/>
              <w:bottom w:val="single" w:sz="4" w:space="0" w:color="A39892"/>
              <w:right w:val="single" w:sz="4" w:space="0" w:color="A39892"/>
            </w:tcBorders>
          </w:tcPr>
          <w:p w:rsidR="00057E32" w:rsidRDefault="0001461A" w:rsidP="003C24E0">
            <w:pPr>
              <w:pStyle w:val="TableText"/>
              <w:spacing w:before="40" w:after="24"/>
            </w:pPr>
            <w:r>
              <w:t>1.9</w:t>
            </w:r>
          </w:p>
        </w:tc>
        <w:tc>
          <w:tcPr>
            <w:tcW w:w="1065" w:type="dxa"/>
            <w:tcBorders>
              <w:top w:val="single" w:sz="4" w:space="0" w:color="A39892"/>
              <w:left w:val="single" w:sz="4" w:space="0" w:color="A39892"/>
              <w:bottom w:val="single" w:sz="4" w:space="0" w:color="A39892"/>
              <w:right w:val="single" w:sz="4" w:space="0" w:color="A39892"/>
            </w:tcBorders>
          </w:tcPr>
          <w:p w:rsidR="00057E32" w:rsidRDefault="0001461A" w:rsidP="003C24E0">
            <w:pPr>
              <w:pStyle w:val="TableText"/>
              <w:spacing w:before="40" w:after="24"/>
            </w:pPr>
            <w:r>
              <w:t>0</w:t>
            </w:r>
          </w:p>
        </w:tc>
        <w:tc>
          <w:tcPr>
            <w:tcW w:w="1066" w:type="dxa"/>
            <w:tcBorders>
              <w:top w:val="single" w:sz="4" w:space="0" w:color="A39892"/>
              <w:left w:val="single" w:sz="4" w:space="0" w:color="A39892"/>
              <w:bottom w:val="single" w:sz="4" w:space="0" w:color="A39892"/>
              <w:right w:val="single" w:sz="4" w:space="0" w:color="A39892"/>
            </w:tcBorders>
          </w:tcPr>
          <w:p w:rsidR="00057E32" w:rsidRDefault="0001461A" w:rsidP="003C24E0">
            <w:pPr>
              <w:pStyle w:val="TableText"/>
              <w:spacing w:before="40" w:after="24"/>
            </w:pPr>
            <w:r>
              <w:t>0</w:t>
            </w:r>
          </w:p>
        </w:tc>
        <w:tc>
          <w:tcPr>
            <w:tcW w:w="1065" w:type="dxa"/>
            <w:tcBorders>
              <w:top w:val="single" w:sz="4" w:space="0" w:color="A39892"/>
              <w:left w:val="single" w:sz="4" w:space="0" w:color="A39892"/>
              <w:bottom w:val="single" w:sz="4" w:space="0" w:color="A39892"/>
              <w:right w:val="single" w:sz="4" w:space="0" w:color="A39892"/>
            </w:tcBorders>
          </w:tcPr>
          <w:p w:rsidR="00057E32" w:rsidRDefault="0001461A" w:rsidP="003C24E0">
            <w:pPr>
              <w:pStyle w:val="TableText"/>
              <w:spacing w:before="40" w:after="24"/>
            </w:pPr>
            <w:r>
              <w:t>0</w:t>
            </w:r>
          </w:p>
        </w:tc>
        <w:tc>
          <w:tcPr>
            <w:tcW w:w="1066" w:type="dxa"/>
            <w:tcBorders>
              <w:top w:val="single" w:sz="4" w:space="0" w:color="A39892"/>
              <w:left w:val="single" w:sz="4" w:space="0" w:color="A39892"/>
              <w:bottom w:val="single" w:sz="4" w:space="0" w:color="A39892"/>
              <w:right w:val="single" w:sz="4" w:space="0" w:color="A39892"/>
            </w:tcBorders>
          </w:tcPr>
          <w:p w:rsidR="00057E32" w:rsidRDefault="0001461A" w:rsidP="003C24E0">
            <w:pPr>
              <w:pStyle w:val="TableText"/>
              <w:spacing w:before="40" w:after="24"/>
            </w:pPr>
            <w:r>
              <w:t>1.9</w:t>
            </w:r>
          </w:p>
        </w:tc>
      </w:tr>
      <w:tr w:rsidR="00057E32" w:rsidTr="00057E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555" w:type="dxa"/>
            <w:tcBorders>
              <w:top w:val="nil"/>
              <w:left w:val="single" w:sz="4" w:space="0" w:color="A39892"/>
              <w:bottom w:val="single" w:sz="4" w:space="0" w:color="A39892"/>
              <w:right w:val="single" w:sz="4" w:space="0" w:color="A39892"/>
            </w:tcBorders>
          </w:tcPr>
          <w:p w:rsidR="00057E32" w:rsidRDefault="00057E32" w:rsidP="003C24E0">
            <w:pPr>
              <w:pStyle w:val="TableText"/>
              <w:spacing w:before="40" w:after="24"/>
            </w:pPr>
          </w:p>
        </w:tc>
        <w:tc>
          <w:tcPr>
            <w:tcW w:w="1065" w:type="dxa"/>
            <w:tcBorders>
              <w:top w:val="single" w:sz="4" w:space="0" w:color="A39892"/>
              <w:left w:val="single" w:sz="4" w:space="0" w:color="A39892"/>
              <w:bottom w:val="single" w:sz="4" w:space="0" w:color="A39892"/>
              <w:right w:val="single" w:sz="4" w:space="0" w:color="A39892"/>
            </w:tcBorders>
          </w:tcPr>
          <w:p w:rsidR="00057E32" w:rsidRDefault="00057E32" w:rsidP="003C24E0">
            <w:pPr>
              <w:pStyle w:val="TableText"/>
              <w:spacing w:before="40" w:after="24"/>
            </w:pPr>
            <w:r>
              <w:t>Total</w:t>
            </w:r>
          </w:p>
        </w:tc>
        <w:tc>
          <w:tcPr>
            <w:tcW w:w="1066" w:type="dxa"/>
            <w:tcBorders>
              <w:top w:val="single" w:sz="4" w:space="0" w:color="A39892"/>
              <w:left w:val="single" w:sz="4" w:space="0" w:color="A39892"/>
              <w:bottom w:val="single" w:sz="4" w:space="0" w:color="A39892"/>
              <w:right w:val="single" w:sz="4" w:space="0" w:color="A39892"/>
            </w:tcBorders>
          </w:tcPr>
          <w:p w:rsidR="00057E32" w:rsidRDefault="0001461A" w:rsidP="003C24E0">
            <w:pPr>
              <w:pStyle w:val="TableText"/>
              <w:spacing w:before="40" w:after="24"/>
            </w:pPr>
            <w:r>
              <w:t>2.9</w:t>
            </w:r>
          </w:p>
        </w:tc>
        <w:tc>
          <w:tcPr>
            <w:tcW w:w="1065" w:type="dxa"/>
            <w:tcBorders>
              <w:top w:val="single" w:sz="4" w:space="0" w:color="A39892"/>
              <w:left w:val="single" w:sz="4" w:space="0" w:color="A39892"/>
              <w:bottom w:val="single" w:sz="4" w:space="0" w:color="A39892"/>
              <w:right w:val="single" w:sz="4" w:space="0" w:color="A39892"/>
            </w:tcBorders>
          </w:tcPr>
          <w:p w:rsidR="00057E32" w:rsidRDefault="0001461A" w:rsidP="003C24E0">
            <w:pPr>
              <w:pStyle w:val="TableText"/>
              <w:spacing w:before="40" w:after="24"/>
            </w:pPr>
            <w:r>
              <w:t>0</w:t>
            </w:r>
          </w:p>
        </w:tc>
        <w:tc>
          <w:tcPr>
            <w:tcW w:w="1066" w:type="dxa"/>
            <w:tcBorders>
              <w:top w:val="single" w:sz="4" w:space="0" w:color="A39892"/>
              <w:left w:val="single" w:sz="4" w:space="0" w:color="A39892"/>
              <w:bottom w:val="single" w:sz="4" w:space="0" w:color="A39892"/>
              <w:right w:val="single" w:sz="4" w:space="0" w:color="A39892"/>
            </w:tcBorders>
          </w:tcPr>
          <w:p w:rsidR="00057E32" w:rsidRDefault="0001461A" w:rsidP="003C24E0">
            <w:pPr>
              <w:pStyle w:val="TableText"/>
              <w:spacing w:before="40" w:after="24"/>
            </w:pPr>
            <w:r>
              <w:t>0</w:t>
            </w:r>
          </w:p>
        </w:tc>
        <w:tc>
          <w:tcPr>
            <w:tcW w:w="1065" w:type="dxa"/>
            <w:tcBorders>
              <w:top w:val="single" w:sz="4" w:space="0" w:color="A39892"/>
              <w:left w:val="single" w:sz="4" w:space="0" w:color="A39892"/>
              <w:bottom w:val="single" w:sz="4" w:space="0" w:color="A39892"/>
              <w:right w:val="single" w:sz="4" w:space="0" w:color="A39892"/>
            </w:tcBorders>
          </w:tcPr>
          <w:p w:rsidR="00057E32" w:rsidRDefault="0001461A" w:rsidP="003C24E0">
            <w:pPr>
              <w:pStyle w:val="TableText"/>
              <w:spacing w:before="40" w:after="24"/>
            </w:pPr>
            <w:r>
              <w:t>0</w:t>
            </w:r>
          </w:p>
        </w:tc>
        <w:tc>
          <w:tcPr>
            <w:tcW w:w="1066" w:type="dxa"/>
            <w:tcBorders>
              <w:top w:val="single" w:sz="4" w:space="0" w:color="A39892"/>
              <w:left w:val="single" w:sz="4" w:space="0" w:color="A39892"/>
              <w:bottom w:val="single" w:sz="4" w:space="0" w:color="A39892"/>
              <w:right w:val="single" w:sz="4" w:space="0" w:color="A39892"/>
            </w:tcBorders>
          </w:tcPr>
          <w:p w:rsidR="00057E32" w:rsidRDefault="0001461A" w:rsidP="003C24E0">
            <w:pPr>
              <w:pStyle w:val="TableText"/>
              <w:spacing w:before="40" w:after="24"/>
            </w:pPr>
            <w:r>
              <w:t>2.9</w:t>
            </w:r>
          </w:p>
        </w:tc>
      </w:tr>
      <w:tr w:rsidR="00057E32" w:rsidTr="00057E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555" w:type="dxa"/>
            <w:tcBorders>
              <w:top w:val="single" w:sz="4" w:space="0" w:color="A39892"/>
              <w:left w:val="single" w:sz="4" w:space="0" w:color="A39892"/>
              <w:bottom w:val="nil"/>
              <w:right w:val="single" w:sz="4" w:space="0" w:color="A39892"/>
            </w:tcBorders>
          </w:tcPr>
          <w:p w:rsidR="00057E32" w:rsidRDefault="00057E32" w:rsidP="003C24E0">
            <w:pPr>
              <w:pStyle w:val="TableText"/>
              <w:spacing w:before="40" w:after="24"/>
            </w:pPr>
            <w:r>
              <w:t>APS 4</w:t>
            </w:r>
          </w:p>
        </w:tc>
        <w:tc>
          <w:tcPr>
            <w:tcW w:w="1065" w:type="dxa"/>
            <w:tcBorders>
              <w:top w:val="single" w:sz="4" w:space="0" w:color="A39892"/>
              <w:left w:val="single" w:sz="4" w:space="0" w:color="A39892"/>
              <w:bottom w:val="single" w:sz="4" w:space="0" w:color="A39892"/>
              <w:right w:val="single" w:sz="4" w:space="0" w:color="A39892"/>
            </w:tcBorders>
          </w:tcPr>
          <w:p w:rsidR="00057E32" w:rsidRDefault="00057E32" w:rsidP="003C24E0">
            <w:pPr>
              <w:pStyle w:val="TableText"/>
              <w:spacing w:before="40" w:after="24"/>
            </w:pPr>
            <w:r>
              <w:t>Male</w:t>
            </w:r>
          </w:p>
        </w:tc>
        <w:tc>
          <w:tcPr>
            <w:tcW w:w="1066" w:type="dxa"/>
            <w:tcBorders>
              <w:top w:val="single" w:sz="4" w:space="0" w:color="A39892"/>
              <w:left w:val="single" w:sz="4" w:space="0" w:color="A39892"/>
              <w:bottom w:val="single" w:sz="4" w:space="0" w:color="A39892"/>
              <w:right w:val="single" w:sz="4" w:space="0" w:color="A39892"/>
            </w:tcBorders>
          </w:tcPr>
          <w:p w:rsidR="00057E32" w:rsidRDefault="0001461A" w:rsidP="003C24E0">
            <w:pPr>
              <w:pStyle w:val="TableText"/>
              <w:spacing w:before="40" w:after="24"/>
            </w:pPr>
            <w:r>
              <w:t>2</w:t>
            </w:r>
          </w:p>
        </w:tc>
        <w:tc>
          <w:tcPr>
            <w:tcW w:w="1065" w:type="dxa"/>
            <w:tcBorders>
              <w:top w:val="single" w:sz="4" w:space="0" w:color="A39892"/>
              <w:left w:val="single" w:sz="4" w:space="0" w:color="A39892"/>
              <w:bottom w:val="single" w:sz="4" w:space="0" w:color="A39892"/>
              <w:right w:val="single" w:sz="4" w:space="0" w:color="A39892"/>
            </w:tcBorders>
          </w:tcPr>
          <w:p w:rsidR="00057E32" w:rsidRDefault="0001461A" w:rsidP="003C24E0">
            <w:pPr>
              <w:pStyle w:val="TableText"/>
              <w:spacing w:before="40" w:after="24"/>
            </w:pPr>
            <w:r>
              <w:t>0</w:t>
            </w:r>
          </w:p>
        </w:tc>
        <w:tc>
          <w:tcPr>
            <w:tcW w:w="1066" w:type="dxa"/>
            <w:tcBorders>
              <w:top w:val="single" w:sz="4" w:space="0" w:color="A39892"/>
              <w:left w:val="single" w:sz="4" w:space="0" w:color="A39892"/>
              <w:bottom w:val="single" w:sz="4" w:space="0" w:color="A39892"/>
              <w:right w:val="single" w:sz="4" w:space="0" w:color="A39892"/>
            </w:tcBorders>
          </w:tcPr>
          <w:p w:rsidR="00057E32" w:rsidRDefault="0001461A" w:rsidP="003C24E0">
            <w:pPr>
              <w:pStyle w:val="TableText"/>
              <w:spacing w:before="40" w:after="24"/>
            </w:pPr>
            <w:r>
              <w:t>0</w:t>
            </w:r>
          </w:p>
        </w:tc>
        <w:tc>
          <w:tcPr>
            <w:tcW w:w="1065" w:type="dxa"/>
            <w:tcBorders>
              <w:top w:val="single" w:sz="4" w:space="0" w:color="A39892"/>
              <w:left w:val="single" w:sz="4" w:space="0" w:color="A39892"/>
              <w:bottom w:val="single" w:sz="4" w:space="0" w:color="A39892"/>
              <w:right w:val="single" w:sz="4" w:space="0" w:color="A39892"/>
            </w:tcBorders>
          </w:tcPr>
          <w:p w:rsidR="00057E32" w:rsidRDefault="0001461A" w:rsidP="003C24E0">
            <w:pPr>
              <w:pStyle w:val="TableText"/>
              <w:spacing w:before="40" w:after="24"/>
            </w:pPr>
            <w:r>
              <w:t>0</w:t>
            </w:r>
          </w:p>
        </w:tc>
        <w:tc>
          <w:tcPr>
            <w:tcW w:w="1066" w:type="dxa"/>
            <w:tcBorders>
              <w:top w:val="single" w:sz="4" w:space="0" w:color="A39892"/>
              <w:left w:val="single" w:sz="4" w:space="0" w:color="A39892"/>
              <w:bottom w:val="single" w:sz="4" w:space="0" w:color="A39892"/>
              <w:right w:val="single" w:sz="4" w:space="0" w:color="A39892"/>
            </w:tcBorders>
          </w:tcPr>
          <w:p w:rsidR="00057E32" w:rsidRDefault="0001461A" w:rsidP="003C24E0">
            <w:pPr>
              <w:pStyle w:val="TableText"/>
              <w:spacing w:before="40" w:after="24"/>
            </w:pPr>
            <w:r>
              <w:t>2</w:t>
            </w:r>
          </w:p>
        </w:tc>
      </w:tr>
      <w:tr w:rsidR="00057E32" w:rsidTr="00057E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555" w:type="dxa"/>
            <w:tcBorders>
              <w:top w:val="nil"/>
              <w:left w:val="single" w:sz="4" w:space="0" w:color="A39892"/>
              <w:bottom w:val="nil"/>
              <w:right w:val="single" w:sz="4" w:space="0" w:color="A39892"/>
            </w:tcBorders>
          </w:tcPr>
          <w:p w:rsidR="00057E32" w:rsidRDefault="00057E32" w:rsidP="003C24E0">
            <w:pPr>
              <w:pStyle w:val="TableText"/>
              <w:spacing w:before="40" w:after="24"/>
            </w:pPr>
          </w:p>
        </w:tc>
        <w:tc>
          <w:tcPr>
            <w:tcW w:w="1065" w:type="dxa"/>
            <w:tcBorders>
              <w:top w:val="single" w:sz="4" w:space="0" w:color="A39892"/>
              <w:left w:val="single" w:sz="4" w:space="0" w:color="A39892"/>
              <w:bottom w:val="single" w:sz="4" w:space="0" w:color="A39892"/>
              <w:right w:val="single" w:sz="4" w:space="0" w:color="A39892"/>
            </w:tcBorders>
          </w:tcPr>
          <w:p w:rsidR="00057E32" w:rsidRDefault="00057E32" w:rsidP="003C24E0">
            <w:pPr>
              <w:pStyle w:val="TableText"/>
              <w:spacing w:before="40" w:after="24"/>
            </w:pPr>
            <w:r>
              <w:t>Female</w:t>
            </w:r>
          </w:p>
        </w:tc>
        <w:tc>
          <w:tcPr>
            <w:tcW w:w="1066" w:type="dxa"/>
            <w:tcBorders>
              <w:top w:val="single" w:sz="4" w:space="0" w:color="A39892"/>
              <w:left w:val="single" w:sz="4" w:space="0" w:color="A39892"/>
              <w:bottom w:val="single" w:sz="4" w:space="0" w:color="A39892"/>
              <w:right w:val="single" w:sz="4" w:space="0" w:color="A39892"/>
            </w:tcBorders>
          </w:tcPr>
          <w:p w:rsidR="00057E32" w:rsidRDefault="0001461A" w:rsidP="003C24E0">
            <w:pPr>
              <w:pStyle w:val="TableText"/>
              <w:spacing w:before="40" w:after="24"/>
            </w:pPr>
            <w:r>
              <w:t>6</w:t>
            </w:r>
          </w:p>
        </w:tc>
        <w:tc>
          <w:tcPr>
            <w:tcW w:w="1065" w:type="dxa"/>
            <w:tcBorders>
              <w:top w:val="single" w:sz="4" w:space="0" w:color="A39892"/>
              <w:left w:val="single" w:sz="4" w:space="0" w:color="A39892"/>
              <w:bottom w:val="single" w:sz="4" w:space="0" w:color="A39892"/>
              <w:right w:val="single" w:sz="4" w:space="0" w:color="A39892"/>
            </w:tcBorders>
          </w:tcPr>
          <w:p w:rsidR="00057E32" w:rsidRDefault="0001461A" w:rsidP="003C24E0">
            <w:pPr>
              <w:pStyle w:val="TableText"/>
              <w:spacing w:before="40" w:after="24"/>
            </w:pPr>
            <w:r>
              <w:t>0</w:t>
            </w:r>
          </w:p>
        </w:tc>
        <w:tc>
          <w:tcPr>
            <w:tcW w:w="1066" w:type="dxa"/>
            <w:tcBorders>
              <w:top w:val="single" w:sz="4" w:space="0" w:color="A39892"/>
              <w:left w:val="single" w:sz="4" w:space="0" w:color="A39892"/>
              <w:bottom w:val="single" w:sz="4" w:space="0" w:color="A39892"/>
              <w:right w:val="single" w:sz="4" w:space="0" w:color="A39892"/>
            </w:tcBorders>
          </w:tcPr>
          <w:p w:rsidR="00057E32" w:rsidRDefault="0001461A" w:rsidP="003C24E0">
            <w:pPr>
              <w:pStyle w:val="TableText"/>
              <w:spacing w:before="40" w:after="24"/>
            </w:pPr>
            <w:r>
              <w:t>6.2</w:t>
            </w:r>
          </w:p>
        </w:tc>
        <w:tc>
          <w:tcPr>
            <w:tcW w:w="1065" w:type="dxa"/>
            <w:tcBorders>
              <w:top w:val="single" w:sz="4" w:space="0" w:color="A39892"/>
              <w:left w:val="single" w:sz="4" w:space="0" w:color="A39892"/>
              <w:bottom w:val="single" w:sz="4" w:space="0" w:color="A39892"/>
              <w:right w:val="single" w:sz="4" w:space="0" w:color="A39892"/>
            </w:tcBorders>
          </w:tcPr>
          <w:p w:rsidR="00057E32" w:rsidRDefault="0001461A" w:rsidP="003C24E0">
            <w:pPr>
              <w:pStyle w:val="TableText"/>
              <w:spacing w:before="40" w:after="24"/>
            </w:pPr>
            <w:r>
              <w:t>0</w:t>
            </w:r>
          </w:p>
        </w:tc>
        <w:tc>
          <w:tcPr>
            <w:tcW w:w="1066" w:type="dxa"/>
            <w:tcBorders>
              <w:top w:val="single" w:sz="4" w:space="0" w:color="A39892"/>
              <w:left w:val="single" w:sz="4" w:space="0" w:color="A39892"/>
              <w:bottom w:val="single" w:sz="4" w:space="0" w:color="A39892"/>
              <w:right w:val="single" w:sz="4" w:space="0" w:color="A39892"/>
            </w:tcBorders>
          </w:tcPr>
          <w:p w:rsidR="00057E32" w:rsidRDefault="0001461A" w:rsidP="003C24E0">
            <w:pPr>
              <w:pStyle w:val="TableText"/>
              <w:spacing w:before="40" w:after="24"/>
            </w:pPr>
            <w:r>
              <w:t>12.2</w:t>
            </w:r>
          </w:p>
        </w:tc>
      </w:tr>
      <w:tr w:rsidR="00057E32" w:rsidTr="00057E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555" w:type="dxa"/>
            <w:tcBorders>
              <w:top w:val="nil"/>
              <w:left w:val="single" w:sz="4" w:space="0" w:color="A39892"/>
              <w:bottom w:val="single" w:sz="4" w:space="0" w:color="A39892"/>
              <w:right w:val="single" w:sz="4" w:space="0" w:color="A39892"/>
            </w:tcBorders>
          </w:tcPr>
          <w:p w:rsidR="00057E32" w:rsidRDefault="00057E32" w:rsidP="003C24E0">
            <w:pPr>
              <w:pStyle w:val="TableText"/>
              <w:spacing w:before="40" w:after="24"/>
            </w:pPr>
          </w:p>
        </w:tc>
        <w:tc>
          <w:tcPr>
            <w:tcW w:w="1065" w:type="dxa"/>
            <w:tcBorders>
              <w:top w:val="single" w:sz="4" w:space="0" w:color="A39892"/>
              <w:left w:val="single" w:sz="4" w:space="0" w:color="A39892"/>
              <w:bottom w:val="single" w:sz="4" w:space="0" w:color="A39892"/>
              <w:right w:val="single" w:sz="4" w:space="0" w:color="A39892"/>
            </w:tcBorders>
          </w:tcPr>
          <w:p w:rsidR="00057E32" w:rsidRDefault="00057E32" w:rsidP="003C24E0">
            <w:pPr>
              <w:pStyle w:val="TableText"/>
              <w:spacing w:before="40" w:after="24"/>
            </w:pPr>
            <w:r>
              <w:t>Total</w:t>
            </w:r>
          </w:p>
        </w:tc>
        <w:tc>
          <w:tcPr>
            <w:tcW w:w="1066" w:type="dxa"/>
            <w:tcBorders>
              <w:top w:val="single" w:sz="4" w:space="0" w:color="A39892"/>
              <w:left w:val="single" w:sz="4" w:space="0" w:color="A39892"/>
              <w:bottom w:val="single" w:sz="4" w:space="0" w:color="A39892"/>
              <w:right w:val="single" w:sz="4" w:space="0" w:color="A39892"/>
            </w:tcBorders>
          </w:tcPr>
          <w:p w:rsidR="00057E32" w:rsidRDefault="0001461A" w:rsidP="003C24E0">
            <w:pPr>
              <w:pStyle w:val="TableText"/>
              <w:spacing w:before="40" w:after="24"/>
            </w:pPr>
            <w:r>
              <w:t>8</w:t>
            </w:r>
          </w:p>
        </w:tc>
        <w:tc>
          <w:tcPr>
            <w:tcW w:w="1065" w:type="dxa"/>
            <w:tcBorders>
              <w:top w:val="single" w:sz="4" w:space="0" w:color="A39892"/>
              <w:left w:val="single" w:sz="4" w:space="0" w:color="A39892"/>
              <w:bottom w:val="single" w:sz="4" w:space="0" w:color="A39892"/>
              <w:right w:val="single" w:sz="4" w:space="0" w:color="A39892"/>
            </w:tcBorders>
          </w:tcPr>
          <w:p w:rsidR="00057E32" w:rsidRDefault="0001461A" w:rsidP="003C24E0">
            <w:pPr>
              <w:pStyle w:val="TableText"/>
              <w:spacing w:before="40" w:after="24"/>
            </w:pPr>
            <w:r>
              <w:t>0</w:t>
            </w:r>
          </w:p>
        </w:tc>
        <w:tc>
          <w:tcPr>
            <w:tcW w:w="1066" w:type="dxa"/>
            <w:tcBorders>
              <w:top w:val="single" w:sz="4" w:space="0" w:color="A39892"/>
              <w:left w:val="single" w:sz="4" w:space="0" w:color="A39892"/>
              <w:bottom w:val="single" w:sz="4" w:space="0" w:color="A39892"/>
              <w:right w:val="single" w:sz="4" w:space="0" w:color="A39892"/>
            </w:tcBorders>
          </w:tcPr>
          <w:p w:rsidR="00057E32" w:rsidRDefault="0001461A" w:rsidP="003C24E0">
            <w:pPr>
              <w:pStyle w:val="TableText"/>
              <w:spacing w:before="40" w:after="24"/>
            </w:pPr>
            <w:r>
              <w:t>6.2</w:t>
            </w:r>
          </w:p>
        </w:tc>
        <w:tc>
          <w:tcPr>
            <w:tcW w:w="1065" w:type="dxa"/>
            <w:tcBorders>
              <w:top w:val="single" w:sz="4" w:space="0" w:color="A39892"/>
              <w:left w:val="single" w:sz="4" w:space="0" w:color="A39892"/>
              <w:bottom w:val="single" w:sz="4" w:space="0" w:color="A39892"/>
              <w:right w:val="single" w:sz="4" w:space="0" w:color="A39892"/>
            </w:tcBorders>
          </w:tcPr>
          <w:p w:rsidR="00057E32" w:rsidRDefault="0001461A" w:rsidP="003C24E0">
            <w:pPr>
              <w:pStyle w:val="TableText"/>
              <w:spacing w:before="40" w:after="24"/>
            </w:pPr>
            <w:r>
              <w:t>0</w:t>
            </w:r>
          </w:p>
        </w:tc>
        <w:tc>
          <w:tcPr>
            <w:tcW w:w="1066" w:type="dxa"/>
            <w:tcBorders>
              <w:top w:val="single" w:sz="4" w:space="0" w:color="A39892"/>
              <w:left w:val="single" w:sz="4" w:space="0" w:color="A39892"/>
              <w:bottom w:val="single" w:sz="4" w:space="0" w:color="A39892"/>
              <w:right w:val="single" w:sz="4" w:space="0" w:color="A39892"/>
            </w:tcBorders>
          </w:tcPr>
          <w:p w:rsidR="00057E32" w:rsidRDefault="0001461A" w:rsidP="003C24E0">
            <w:pPr>
              <w:pStyle w:val="TableText"/>
              <w:spacing w:before="40" w:after="24"/>
            </w:pPr>
            <w:r>
              <w:t>14.2</w:t>
            </w:r>
          </w:p>
        </w:tc>
      </w:tr>
      <w:tr w:rsidR="00057E32" w:rsidTr="00057E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555" w:type="dxa"/>
            <w:tcBorders>
              <w:top w:val="single" w:sz="4" w:space="0" w:color="A39892"/>
              <w:left w:val="single" w:sz="4" w:space="0" w:color="A39892"/>
              <w:bottom w:val="nil"/>
              <w:right w:val="single" w:sz="4" w:space="0" w:color="A39892"/>
            </w:tcBorders>
          </w:tcPr>
          <w:p w:rsidR="00057E32" w:rsidRDefault="00057E32" w:rsidP="003C24E0">
            <w:pPr>
              <w:pStyle w:val="TableText"/>
              <w:spacing w:before="40" w:after="24"/>
            </w:pPr>
            <w:r>
              <w:t>All staff</w:t>
            </w:r>
          </w:p>
        </w:tc>
        <w:tc>
          <w:tcPr>
            <w:tcW w:w="1065" w:type="dxa"/>
            <w:tcBorders>
              <w:top w:val="single" w:sz="4" w:space="0" w:color="A39892"/>
              <w:left w:val="single" w:sz="4" w:space="0" w:color="A39892"/>
              <w:bottom w:val="single" w:sz="4" w:space="0" w:color="A39892"/>
              <w:right w:val="single" w:sz="4" w:space="0" w:color="A39892"/>
            </w:tcBorders>
          </w:tcPr>
          <w:p w:rsidR="00057E32" w:rsidRDefault="00057E32" w:rsidP="003C24E0">
            <w:pPr>
              <w:pStyle w:val="TableText"/>
              <w:spacing w:before="40" w:after="24"/>
            </w:pPr>
            <w:r>
              <w:t>Male</w:t>
            </w:r>
          </w:p>
        </w:tc>
        <w:tc>
          <w:tcPr>
            <w:tcW w:w="1066" w:type="dxa"/>
            <w:tcBorders>
              <w:top w:val="single" w:sz="4" w:space="0" w:color="A39892"/>
              <w:left w:val="single" w:sz="4" w:space="0" w:color="A39892"/>
              <w:bottom w:val="single" w:sz="4" w:space="0" w:color="A39892"/>
              <w:right w:val="single" w:sz="4" w:space="0" w:color="A39892"/>
            </w:tcBorders>
          </w:tcPr>
          <w:p w:rsidR="00057E32" w:rsidRDefault="0001461A" w:rsidP="003C24E0">
            <w:pPr>
              <w:pStyle w:val="TableText"/>
              <w:spacing w:before="40" w:after="24"/>
            </w:pPr>
            <w:r>
              <w:t>8</w:t>
            </w:r>
          </w:p>
        </w:tc>
        <w:tc>
          <w:tcPr>
            <w:tcW w:w="1065" w:type="dxa"/>
            <w:tcBorders>
              <w:top w:val="single" w:sz="4" w:space="0" w:color="A39892"/>
              <w:left w:val="single" w:sz="4" w:space="0" w:color="A39892"/>
              <w:bottom w:val="single" w:sz="4" w:space="0" w:color="A39892"/>
              <w:right w:val="single" w:sz="4" w:space="0" w:color="A39892"/>
            </w:tcBorders>
          </w:tcPr>
          <w:p w:rsidR="00057E32" w:rsidRDefault="0001461A" w:rsidP="003C24E0">
            <w:pPr>
              <w:pStyle w:val="TableText"/>
              <w:spacing w:before="40" w:after="24"/>
            </w:pPr>
            <w:r>
              <w:t>0</w:t>
            </w:r>
          </w:p>
        </w:tc>
        <w:tc>
          <w:tcPr>
            <w:tcW w:w="1066" w:type="dxa"/>
            <w:tcBorders>
              <w:top w:val="single" w:sz="4" w:space="0" w:color="A39892"/>
              <w:left w:val="single" w:sz="4" w:space="0" w:color="A39892"/>
              <w:bottom w:val="single" w:sz="4" w:space="0" w:color="A39892"/>
              <w:right w:val="single" w:sz="4" w:space="0" w:color="A39892"/>
            </w:tcBorders>
          </w:tcPr>
          <w:p w:rsidR="00057E32" w:rsidRDefault="0001461A" w:rsidP="003C24E0">
            <w:pPr>
              <w:pStyle w:val="TableText"/>
              <w:spacing w:before="40" w:after="24"/>
            </w:pPr>
            <w:r>
              <w:t>0</w:t>
            </w:r>
          </w:p>
        </w:tc>
        <w:tc>
          <w:tcPr>
            <w:tcW w:w="1065" w:type="dxa"/>
            <w:tcBorders>
              <w:top w:val="single" w:sz="4" w:space="0" w:color="A39892"/>
              <w:left w:val="single" w:sz="4" w:space="0" w:color="A39892"/>
              <w:bottom w:val="single" w:sz="4" w:space="0" w:color="A39892"/>
              <w:right w:val="single" w:sz="4" w:space="0" w:color="A39892"/>
            </w:tcBorders>
          </w:tcPr>
          <w:p w:rsidR="00057E32" w:rsidRDefault="0001461A" w:rsidP="003C24E0">
            <w:pPr>
              <w:pStyle w:val="TableText"/>
              <w:spacing w:before="40" w:after="24"/>
            </w:pPr>
            <w:r>
              <w:t>0</w:t>
            </w:r>
          </w:p>
        </w:tc>
        <w:tc>
          <w:tcPr>
            <w:tcW w:w="1066" w:type="dxa"/>
            <w:tcBorders>
              <w:top w:val="single" w:sz="4" w:space="0" w:color="A39892"/>
              <w:left w:val="single" w:sz="4" w:space="0" w:color="A39892"/>
              <w:bottom w:val="single" w:sz="4" w:space="0" w:color="A39892"/>
              <w:right w:val="single" w:sz="4" w:space="0" w:color="A39892"/>
            </w:tcBorders>
          </w:tcPr>
          <w:p w:rsidR="00057E32" w:rsidRDefault="0001461A" w:rsidP="003C24E0">
            <w:pPr>
              <w:pStyle w:val="TableText"/>
              <w:spacing w:before="40" w:after="24"/>
            </w:pPr>
            <w:r>
              <w:t>8</w:t>
            </w:r>
          </w:p>
        </w:tc>
      </w:tr>
      <w:tr w:rsidR="00057E32" w:rsidTr="00057E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555" w:type="dxa"/>
            <w:tcBorders>
              <w:top w:val="nil"/>
              <w:left w:val="single" w:sz="4" w:space="0" w:color="A39892"/>
              <w:bottom w:val="nil"/>
              <w:right w:val="single" w:sz="4" w:space="0" w:color="A39892"/>
            </w:tcBorders>
          </w:tcPr>
          <w:p w:rsidR="00057E32" w:rsidRDefault="00057E32" w:rsidP="003C24E0">
            <w:pPr>
              <w:pStyle w:val="TableText"/>
              <w:spacing w:before="40" w:after="24"/>
            </w:pPr>
          </w:p>
        </w:tc>
        <w:tc>
          <w:tcPr>
            <w:tcW w:w="1065" w:type="dxa"/>
            <w:tcBorders>
              <w:top w:val="single" w:sz="4" w:space="0" w:color="A39892"/>
              <w:left w:val="single" w:sz="4" w:space="0" w:color="A39892"/>
              <w:bottom w:val="single" w:sz="4" w:space="0" w:color="A39892"/>
              <w:right w:val="single" w:sz="4" w:space="0" w:color="A39892"/>
            </w:tcBorders>
          </w:tcPr>
          <w:p w:rsidR="00057E32" w:rsidRDefault="00057E32" w:rsidP="003C24E0">
            <w:pPr>
              <w:pStyle w:val="TableText"/>
              <w:spacing w:before="40" w:after="24"/>
            </w:pPr>
            <w:r>
              <w:t>Female</w:t>
            </w:r>
          </w:p>
        </w:tc>
        <w:tc>
          <w:tcPr>
            <w:tcW w:w="1066" w:type="dxa"/>
            <w:tcBorders>
              <w:top w:val="single" w:sz="4" w:space="0" w:color="A39892"/>
              <w:left w:val="single" w:sz="4" w:space="0" w:color="A39892"/>
              <w:bottom w:val="single" w:sz="4" w:space="0" w:color="A39892"/>
              <w:right w:val="single" w:sz="4" w:space="0" w:color="A39892"/>
            </w:tcBorders>
          </w:tcPr>
          <w:p w:rsidR="00057E32" w:rsidRDefault="0001461A" w:rsidP="003C24E0">
            <w:pPr>
              <w:pStyle w:val="TableText"/>
              <w:spacing w:before="40" w:after="24"/>
            </w:pPr>
            <w:r>
              <w:t>11.3</w:t>
            </w:r>
          </w:p>
        </w:tc>
        <w:tc>
          <w:tcPr>
            <w:tcW w:w="1065" w:type="dxa"/>
            <w:tcBorders>
              <w:top w:val="single" w:sz="4" w:space="0" w:color="A39892"/>
              <w:left w:val="single" w:sz="4" w:space="0" w:color="A39892"/>
              <w:bottom w:val="single" w:sz="4" w:space="0" w:color="A39892"/>
              <w:right w:val="single" w:sz="4" w:space="0" w:color="A39892"/>
            </w:tcBorders>
          </w:tcPr>
          <w:p w:rsidR="00057E32" w:rsidRDefault="0001461A" w:rsidP="003C24E0">
            <w:pPr>
              <w:pStyle w:val="TableText"/>
              <w:spacing w:before="40" w:after="24"/>
            </w:pPr>
            <w:r>
              <w:t>0</w:t>
            </w:r>
          </w:p>
        </w:tc>
        <w:tc>
          <w:tcPr>
            <w:tcW w:w="1066" w:type="dxa"/>
            <w:tcBorders>
              <w:top w:val="single" w:sz="4" w:space="0" w:color="A39892"/>
              <w:left w:val="single" w:sz="4" w:space="0" w:color="A39892"/>
              <w:bottom w:val="single" w:sz="4" w:space="0" w:color="A39892"/>
              <w:right w:val="single" w:sz="4" w:space="0" w:color="A39892"/>
            </w:tcBorders>
          </w:tcPr>
          <w:p w:rsidR="00057E32" w:rsidRDefault="0001461A" w:rsidP="003C24E0">
            <w:pPr>
              <w:pStyle w:val="TableText"/>
              <w:spacing w:before="40" w:after="24"/>
            </w:pPr>
            <w:r>
              <w:t>8.2</w:t>
            </w:r>
          </w:p>
        </w:tc>
        <w:tc>
          <w:tcPr>
            <w:tcW w:w="1065" w:type="dxa"/>
            <w:tcBorders>
              <w:top w:val="single" w:sz="4" w:space="0" w:color="A39892"/>
              <w:left w:val="single" w:sz="4" w:space="0" w:color="A39892"/>
              <w:bottom w:val="single" w:sz="4" w:space="0" w:color="A39892"/>
              <w:right w:val="single" w:sz="4" w:space="0" w:color="A39892"/>
            </w:tcBorders>
          </w:tcPr>
          <w:p w:rsidR="00057E32" w:rsidRDefault="0001461A" w:rsidP="003C24E0">
            <w:pPr>
              <w:pStyle w:val="TableText"/>
              <w:spacing w:before="40" w:after="24"/>
            </w:pPr>
            <w:r>
              <w:t>1</w:t>
            </w:r>
          </w:p>
        </w:tc>
        <w:tc>
          <w:tcPr>
            <w:tcW w:w="1066" w:type="dxa"/>
            <w:tcBorders>
              <w:top w:val="single" w:sz="4" w:space="0" w:color="A39892"/>
              <w:left w:val="single" w:sz="4" w:space="0" w:color="A39892"/>
              <w:bottom w:val="single" w:sz="4" w:space="0" w:color="A39892"/>
              <w:right w:val="single" w:sz="4" w:space="0" w:color="A39892"/>
            </w:tcBorders>
          </w:tcPr>
          <w:p w:rsidR="00057E32" w:rsidRDefault="0001461A" w:rsidP="003C24E0">
            <w:pPr>
              <w:pStyle w:val="TableText"/>
              <w:spacing w:before="40" w:after="24"/>
            </w:pPr>
            <w:r>
              <w:t>20.5</w:t>
            </w:r>
          </w:p>
        </w:tc>
      </w:tr>
      <w:tr w:rsidR="00057E32" w:rsidTr="00057E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555" w:type="dxa"/>
            <w:tcBorders>
              <w:top w:val="nil"/>
              <w:left w:val="single" w:sz="4" w:space="0" w:color="A39892"/>
              <w:bottom w:val="single" w:sz="4" w:space="0" w:color="A39892"/>
              <w:right w:val="single" w:sz="4" w:space="0" w:color="A39892"/>
            </w:tcBorders>
          </w:tcPr>
          <w:p w:rsidR="00057E32" w:rsidRDefault="00057E32" w:rsidP="003C24E0">
            <w:pPr>
              <w:pStyle w:val="TableText"/>
              <w:keepNext w:val="0"/>
              <w:spacing w:before="40" w:after="24"/>
            </w:pPr>
          </w:p>
        </w:tc>
        <w:tc>
          <w:tcPr>
            <w:tcW w:w="1065" w:type="dxa"/>
            <w:tcBorders>
              <w:top w:val="single" w:sz="4" w:space="0" w:color="A39892"/>
              <w:left w:val="single" w:sz="4" w:space="0" w:color="A39892"/>
              <w:bottom w:val="single" w:sz="4" w:space="0" w:color="A39892"/>
              <w:right w:val="single" w:sz="4" w:space="0" w:color="A39892"/>
            </w:tcBorders>
          </w:tcPr>
          <w:p w:rsidR="00057E32" w:rsidRDefault="00057E32" w:rsidP="003C24E0">
            <w:pPr>
              <w:pStyle w:val="TableText"/>
              <w:keepNext w:val="0"/>
              <w:spacing w:before="40" w:after="24"/>
            </w:pPr>
            <w:r>
              <w:t>Total</w:t>
            </w:r>
          </w:p>
        </w:tc>
        <w:tc>
          <w:tcPr>
            <w:tcW w:w="1066" w:type="dxa"/>
            <w:tcBorders>
              <w:top w:val="single" w:sz="4" w:space="0" w:color="A39892"/>
              <w:left w:val="single" w:sz="4" w:space="0" w:color="A39892"/>
              <w:bottom w:val="single" w:sz="4" w:space="0" w:color="A39892"/>
              <w:right w:val="single" w:sz="4" w:space="0" w:color="A39892"/>
            </w:tcBorders>
          </w:tcPr>
          <w:p w:rsidR="00057E32" w:rsidRDefault="0001461A" w:rsidP="003C24E0">
            <w:pPr>
              <w:pStyle w:val="TableText"/>
              <w:keepNext w:val="0"/>
              <w:spacing w:before="40" w:after="24"/>
            </w:pPr>
            <w:r>
              <w:t>19.3</w:t>
            </w:r>
          </w:p>
        </w:tc>
        <w:tc>
          <w:tcPr>
            <w:tcW w:w="1065" w:type="dxa"/>
            <w:tcBorders>
              <w:top w:val="single" w:sz="4" w:space="0" w:color="A39892"/>
              <w:left w:val="single" w:sz="4" w:space="0" w:color="A39892"/>
              <w:bottom w:val="single" w:sz="4" w:space="0" w:color="A39892"/>
              <w:right w:val="single" w:sz="4" w:space="0" w:color="A39892"/>
            </w:tcBorders>
          </w:tcPr>
          <w:p w:rsidR="00057E32" w:rsidRDefault="0001461A" w:rsidP="003C24E0">
            <w:pPr>
              <w:pStyle w:val="TableText"/>
              <w:keepNext w:val="0"/>
              <w:spacing w:before="40" w:after="24"/>
            </w:pPr>
            <w:r>
              <w:t>0</w:t>
            </w:r>
          </w:p>
        </w:tc>
        <w:tc>
          <w:tcPr>
            <w:tcW w:w="1066" w:type="dxa"/>
            <w:tcBorders>
              <w:top w:val="single" w:sz="4" w:space="0" w:color="A39892"/>
              <w:left w:val="single" w:sz="4" w:space="0" w:color="A39892"/>
              <w:bottom w:val="single" w:sz="4" w:space="0" w:color="A39892"/>
              <w:right w:val="single" w:sz="4" w:space="0" w:color="A39892"/>
            </w:tcBorders>
          </w:tcPr>
          <w:p w:rsidR="00057E32" w:rsidRDefault="0001461A" w:rsidP="003C24E0">
            <w:pPr>
              <w:pStyle w:val="TableText"/>
              <w:keepNext w:val="0"/>
              <w:spacing w:before="40" w:after="24"/>
            </w:pPr>
            <w:r>
              <w:t>8.2</w:t>
            </w:r>
          </w:p>
        </w:tc>
        <w:tc>
          <w:tcPr>
            <w:tcW w:w="1065" w:type="dxa"/>
            <w:tcBorders>
              <w:top w:val="single" w:sz="4" w:space="0" w:color="A39892"/>
              <w:left w:val="single" w:sz="4" w:space="0" w:color="A39892"/>
              <w:bottom w:val="single" w:sz="4" w:space="0" w:color="A39892"/>
              <w:right w:val="single" w:sz="4" w:space="0" w:color="A39892"/>
            </w:tcBorders>
          </w:tcPr>
          <w:p w:rsidR="00057E32" w:rsidRDefault="0001461A" w:rsidP="003C24E0">
            <w:pPr>
              <w:pStyle w:val="TableText"/>
              <w:keepNext w:val="0"/>
              <w:spacing w:before="40" w:after="24"/>
            </w:pPr>
            <w:r>
              <w:t>1</w:t>
            </w:r>
          </w:p>
        </w:tc>
        <w:tc>
          <w:tcPr>
            <w:tcW w:w="1066" w:type="dxa"/>
            <w:tcBorders>
              <w:top w:val="single" w:sz="4" w:space="0" w:color="A39892"/>
              <w:left w:val="single" w:sz="4" w:space="0" w:color="A39892"/>
              <w:bottom w:val="single" w:sz="4" w:space="0" w:color="A39892"/>
              <w:right w:val="single" w:sz="4" w:space="0" w:color="A39892"/>
            </w:tcBorders>
          </w:tcPr>
          <w:p w:rsidR="00057E32" w:rsidRDefault="0001461A" w:rsidP="003C24E0">
            <w:pPr>
              <w:pStyle w:val="TableText"/>
              <w:keepNext w:val="0"/>
              <w:spacing w:before="40" w:after="24"/>
            </w:pPr>
            <w:r>
              <w:t>28.5</w:t>
            </w:r>
          </w:p>
        </w:tc>
      </w:tr>
    </w:tbl>
    <w:p w:rsidR="00C74977" w:rsidRDefault="00C74977" w:rsidP="00C74977"/>
    <w:tbl>
      <w:tblPr>
        <w:tblStyle w:val="TableGrid"/>
        <w:tblW w:w="5000" w:type="pct"/>
        <w:tblBorders>
          <w:top w:val="single" w:sz="4" w:space="0" w:color="A39892"/>
          <w:left w:val="single" w:sz="4" w:space="0" w:color="A39892"/>
          <w:bottom w:val="single" w:sz="4" w:space="0" w:color="A39892"/>
          <w:right w:val="single" w:sz="4" w:space="0" w:color="A39892"/>
          <w:insideH w:val="single" w:sz="4" w:space="0" w:color="A39892"/>
          <w:insideV w:val="single" w:sz="4" w:space="0" w:color="A39892"/>
        </w:tblBorders>
        <w:tblLayout w:type="fixed"/>
        <w:tblCellMar>
          <w:left w:w="115" w:type="dxa"/>
          <w:right w:w="115" w:type="dxa"/>
        </w:tblCellMar>
        <w:tblLook w:val="04A0" w:firstRow="1" w:lastRow="0" w:firstColumn="1" w:lastColumn="0" w:noHBand="0" w:noVBand="1"/>
      </w:tblPr>
      <w:tblGrid>
        <w:gridCol w:w="1555"/>
        <w:gridCol w:w="1065"/>
        <w:gridCol w:w="1066"/>
        <w:gridCol w:w="1065"/>
        <w:gridCol w:w="1066"/>
        <w:gridCol w:w="1065"/>
        <w:gridCol w:w="1066"/>
      </w:tblGrid>
      <w:tr w:rsidR="00277926" w:rsidTr="00A42141">
        <w:trPr>
          <w:cantSplit/>
        </w:trPr>
        <w:tc>
          <w:tcPr>
            <w:tcW w:w="7948" w:type="dxa"/>
            <w:gridSpan w:val="7"/>
            <w:tcBorders>
              <w:bottom w:val="single" w:sz="4" w:space="0" w:color="A39892"/>
            </w:tcBorders>
            <w:shd w:val="clear" w:color="auto" w:fill="A39892"/>
          </w:tcPr>
          <w:p w:rsidR="00277926" w:rsidRDefault="00277926" w:rsidP="003C24E0">
            <w:pPr>
              <w:pStyle w:val="TableName"/>
              <w:spacing w:before="120" w:after="60"/>
            </w:pPr>
            <w:r>
              <w:lastRenderedPageBreak/>
              <w:t>Table 12: Staff full-time and part-time</w:t>
            </w:r>
          </w:p>
        </w:tc>
      </w:tr>
      <w:tr w:rsidR="00277926" w:rsidRPr="00057E32" w:rsidTr="00A42141">
        <w:trPr>
          <w:cantSplit/>
        </w:trPr>
        <w:tc>
          <w:tcPr>
            <w:tcW w:w="1555" w:type="dxa"/>
            <w:tcBorders>
              <w:bottom w:val="single" w:sz="4" w:space="0" w:color="A39892"/>
            </w:tcBorders>
            <w:shd w:val="clear" w:color="auto" w:fill="C6BDB6"/>
          </w:tcPr>
          <w:p w:rsidR="00277926" w:rsidRPr="00057E32" w:rsidRDefault="00277926" w:rsidP="003C24E0">
            <w:pPr>
              <w:pStyle w:val="TableText"/>
              <w:spacing w:before="50" w:after="20"/>
              <w:rPr>
                <w:b/>
              </w:rPr>
            </w:pPr>
          </w:p>
        </w:tc>
        <w:tc>
          <w:tcPr>
            <w:tcW w:w="1065" w:type="dxa"/>
            <w:shd w:val="clear" w:color="auto" w:fill="C6BDB6"/>
          </w:tcPr>
          <w:p w:rsidR="00277926" w:rsidRPr="00057E32" w:rsidRDefault="00277926" w:rsidP="003C24E0">
            <w:pPr>
              <w:pStyle w:val="TableText"/>
              <w:spacing w:before="50" w:after="20"/>
              <w:rPr>
                <w:b/>
              </w:rPr>
            </w:pPr>
            <w:r w:rsidRPr="00057E32">
              <w:rPr>
                <w:b/>
              </w:rPr>
              <w:t>Gender</w:t>
            </w:r>
          </w:p>
        </w:tc>
        <w:tc>
          <w:tcPr>
            <w:tcW w:w="1066" w:type="dxa"/>
            <w:shd w:val="clear" w:color="auto" w:fill="C6BDB6"/>
          </w:tcPr>
          <w:p w:rsidR="00277926" w:rsidRPr="00057E32" w:rsidRDefault="00277926" w:rsidP="003C24E0">
            <w:pPr>
              <w:pStyle w:val="TableText"/>
              <w:spacing w:before="50" w:after="20"/>
              <w:rPr>
                <w:b/>
              </w:rPr>
            </w:pPr>
            <w:r w:rsidRPr="00057E32">
              <w:rPr>
                <w:b/>
              </w:rPr>
              <w:t>NSW</w:t>
            </w:r>
          </w:p>
        </w:tc>
        <w:tc>
          <w:tcPr>
            <w:tcW w:w="1065" w:type="dxa"/>
            <w:shd w:val="clear" w:color="auto" w:fill="C6BDB6"/>
          </w:tcPr>
          <w:p w:rsidR="00277926" w:rsidRPr="00057E32" w:rsidRDefault="00277926" w:rsidP="003C24E0">
            <w:pPr>
              <w:pStyle w:val="TableText"/>
              <w:spacing w:before="50" w:after="20"/>
              <w:rPr>
                <w:b/>
              </w:rPr>
            </w:pPr>
            <w:r w:rsidRPr="00057E32">
              <w:rPr>
                <w:b/>
              </w:rPr>
              <w:t>VIC</w:t>
            </w:r>
          </w:p>
        </w:tc>
        <w:tc>
          <w:tcPr>
            <w:tcW w:w="1066" w:type="dxa"/>
            <w:shd w:val="clear" w:color="auto" w:fill="C6BDB6"/>
          </w:tcPr>
          <w:p w:rsidR="00277926" w:rsidRPr="00057E32" w:rsidRDefault="00277926" w:rsidP="003C24E0">
            <w:pPr>
              <w:pStyle w:val="TableText"/>
              <w:spacing w:before="50" w:after="20"/>
              <w:rPr>
                <w:b/>
              </w:rPr>
            </w:pPr>
            <w:r w:rsidRPr="00057E32">
              <w:rPr>
                <w:b/>
              </w:rPr>
              <w:t>QLD</w:t>
            </w:r>
          </w:p>
        </w:tc>
        <w:tc>
          <w:tcPr>
            <w:tcW w:w="1065" w:type="dxa"/>
            <w:shd w:val="clear" w:color="auto" w:fill="C6BDB6"/>
          </w:tcPr>
          <w:p w:rsidR="00277926" w:rsidRPr="00057E32" w:rsidRDefault="00277926" w:rsidP="003C24E0">
            <w:pPr>
              <w:pStyle w:val="TableText"/>
              <w:spacing w:before="50" w:after="20"/>
              <w:rPr>
                <w:b/>
              </w:rPr>
            </w:pPr>
            <w:r w:rsidRPr="00057E32">
              <w:rPr>
                <w:b/>
              </w:rPr>
              <w:t>SA</w:t>
            </w:r>
          </w:p>
        </w:tc>
        <w:tc>
          <w:tcPr>
            <w:tcW w:w="1066" w:type="dxa"/>
            <w:shd w:val="clear" w:color="auto" w:fill="C6BDB6"/>
          </w:tcPr>
          <w:p w:rsidR="00277926" w:rsidRPr="00057E32" w:rsidRDefault="00277926" w:rsidP="003C24E0">
            <w:pPr>
              <w:pStyle w:val="TableText"/>
              <w:spacing w:before="50" w:after="20"/>
              <w:rPr>
                <w:b/>
              </w:rPr>
            </w:pPr>
            <w:r w:rsidRPr="00057E32">
              <w:rPr>
                <w:b/>
              </w:rPr>
              <w:t>AUST</w:t>
            </w:r>
          </w:p>
        </w:tc>
      </w:tr>
      <w:tr w:rsidR="00277926" w:rsidTr="00A42141">
        <w:trPr>
          <w:cantSplit/>
        </w:trPr>
        <w:tc>
          <w:tcPr>
            <w:tcW w:w="1555" w:type="dxa"/>
            <w:tcBorders>
              <w:bottom w:val="nil"/>
            </w:tcBorders>
          </w:tcPr>
          <w:p w:rsidR="00277926" w:rsidRDefault="00277926" w:rsidP="003C24E0">
            <w:pPr>
              <w:pStyle w:val="TableText"/>
              <w:spacing w:after="24"/>
            </w:pPr>
            <w:r>
              <w:t>Full-time</w:t>
            </w:r>
          </w:p>
        </w:tc>
        <w:tc>
          <w:tcPr>
            <w:tcW w:w="1065" w:type="dxa"/>
          </w:tcPr>
          <w:p w:rsidR="00277926" w:rsidRDefault="00277926" w:rsidP="003C24E0">
            <w:pPr>
              <w:pStyle w:val="TableText"/>
              <w:spacing w:after="24"/>
            </w:pPr>
            <w:r>
              <w:t>Male</w:t>
            </w:r>
          </w:p>
        </w:tc>
        <w:tc>
          <w:tcPr>
            <w:tcW w:w="1066" w:type="dxa"/>
          </w:tcPr>
          <w:p w:rsidR="00277926" w:rsidRDefault="00417F64" w:rsidP="003C24E0">
            <w:pPr>
              <w:pStyle w:val="TableText"/>
              <w:spacing w:after="24"/>
            </w:pPr>
            <w:r>
              <w:t>8</w:t>
            </w:r>
          </w:p>
        </w:tc>
        <w:tc>
          <w:tcPr>
            <w:tcW w:w="1065" w:type="dxa"/>
          </w:tcPr>
          <w:p w:rsidR="00277926" w:rsidRDefault="00417F64" w:rsidP="003C24E0">
            <w:pPr>
              <w:pStyle w:val="TableText"/>
              <w:spacing w:after="24"/>
            </w:pPr>
            <w:r>
              <w:t>0</w:t>
            </w:r>
          </w:p>
        </w:tc>
        <w:tc>
          <w:tcPr>
            <w:tcW w:w="1066" w:type="dxa"/>
          </w:tcPr>
          <w:p w:rsidR="00277926" w:rsidRDefault="00417F64" w:rsidP="003C24E0">
            <w:pPr>
              <w:pStyle w:val="TableText"/>
              <w:spacing w:after="24"/>
            </w:pPr>
            <w:r>
              <w:t>0</w:t>
            </w:r>
          </w:p>
        </w:tc>
        <w:tc>
          <w:tcPr>
            <w:tcW w:w="1065" w:type="dxa"/>
          </w:tcPr>
          <w:p w:rsidR="00277926" w:rsidRDefault="00417F64" w:rsidP="003C24E0">
            <w:pPr>
              <w:pStyle w:val="TableText"/>
              <w:spacing w:after="24"/>
            </w:pPr>
            <w:r>
              <w:t>0</w:t>
            </w:r>
          </w:p>
        </w:tc>
        <w:tc>
          <w:tcPr>
            <w:tcW w:w="1066" w:type="dxa"/>
          </w:tcPr>
          <w:p w:rsidR="00277926" w:rsidRDefault="00417F64" w:rsidP="003C24E0">
            <w:pPr>
              <w:pStyle w:val="TableText"/>
              <w:spacing w:after="24"/>
            </w:pPr>
            <w:r>
              <w:t>8</w:t>
            </w:r>
          </w:p>
        </w:tc>
      </w:tr>
      <w:tr w:rsidR="00277926" w:rsidTr="00A42141">
        <w:trPr>
          <w:cantSplit/>
        </w:trPr>
        <w:tc>
          <w:tcPr>
            <w:tcW w:w="1555" w:type="dxa"/>
            <w:tcBorders>
              <w:top w:val="nil"/>
              <w:bottom w:val="nil"/>
            </w:tcBorders>
          </w:tcPr>
          <w:p w:rsidR="00277926" w:rsidRDefault="00277926" w:rsidP="003C24E0">
            <w:pPr>
              <w:pStyle w:val="TableText"/>
              <w:spacing w:after="24"/>
            </w:pPr>
          </w:p>
        </w:tc>
        <w:tc>
          <w:tcPr>
            <w:tcW w:w="1065" w:type="dxa"/>
          </w:tcPr>
          <w:p w:rsidR="00277926" w:rsidRDefault="00277926" w:rsidP="003C24E0">
            <w:pPr>
              <w:pStyle w:val="TableText"/>
              <w:spacing w:after="24"/>
            </w:pPr>
            <w:r>
              <w:t>Female</w:t>
            </w:r>
          </w:p>
        </w:tc>
        <w:tc>
          <w:tcPr>
            <w:tcW w:w="1066" w:type="dxa"/>
          </w:tcPr>
          <w:p w:rsidR="00277926" w:rsidRDefault="00417F64" w:rsidP="003C24E0">
            <w:pPr>
              <w:pStyle w:val="TableText"/>
              <w:spacing w:after="24"/>
            </w:pPr>
            <w:r>
              <w:t>10</w:t>
            </w:r>
          </w:p>
        </w:tc>
        <w:tc>
          <w:tcPr>
            <w:tcW w:w="1065" w:type="dxa"/>
          </w:tcPr>
          <w:p w:rsidR="00277926" w:rsidRDefault="00417F64" w:rsidP="003C24E0">
            <w:pPr>
              <w:pStyle w:val="TableText"/>
              <w:spacing w:after="24"/>
            </w:pPr>
            <w:r>
              <w:t>0</w:t>
            </w:r>
          </w:p>
        </w:tc>
        <w:tc>
          <w:tcPr>
            <w:tcW w:w="1066" w:type="dxa"/>
          </w:tcPr>
          <w:p w:rsidR="00277926" w:rsidRDefault="00417F64" w:rsidP="003C24E0">
            <w:pPr>
              <w:pStyle w:val="TableText"/>
              <w:spacing w:after="24"/>
            </w:pPr>
            <w:r>
              <w:t>6</w:t>
            </w:r>
          </w:p>
        </w:tc>
        <w:tc>
          <w:tcPr>
            <w:tcW w:w="1065" w:type="dxa"/>
          </w:tcPr>
          <w:p w:rsidR="00277926" w:rsidRDefault="00417F64" w:rsidP="003C24E0">
            <w:pPr>
              <w:pStyle w:val="TableText"/>
              <w:spacing w:after="24"/>
            </w:pPr>
            <w:r>
              <w:t>1</w:t>
            </w:r>
          </w:p>
        </w:tc>
        <w:tc>
          <w:tcPr>
            <w:tcW w:w="1066" w:type="dxa"/>
          </w:tcPr>
          <w:p w:rsidR="00277926" w:rsidRDefault="00417F64" w:rsidP="003C24E0">
            <w:pPr>
              <w:pStyle w:val="TableText"/>
              <w:spacing w:after="24"/>
            </w:pPr>
            <w:r>
              <w:t>17</w:t>
            </w:r>
          </w:p>
        </w:tc>
      </w:tr>
      <w:tr w:rsidR="00277926" w:rsidTr="00A42141">
        <w:trPr>
          <w:cantSplit/>
        </w:trPr>
        <w:tc>
          <w:tcPr>
            <w:tcW w:w="1555" w:type="dxa"/>
            <w:tcBorders>
              <w:top w:val="nil"/>
              <w:bottom w:val="single" w:sz="4" w:space="0" w:color="A39892"/>
            </w:tcBorders>
          </w:tcPr>
          <w:p w:rsidR="00277926" w:rsidRDefault="00277926" w:rsidP="003C24E0">
            <w:pPr>
              <w:pStyle w:val="TableText"/>
              <w:spacing w:after="24"/>
            </w:pPr>
          </w:p>
        </w:tc>
        <w:tc>
          <w:tcPr>
            <w:tcW w:w="1065" w:type="dxa"/>
            <w:tcBorders>
              <w:bottom w:val="single" w:sz="4" w:space="0" w:color="A39892"/>
            </w:tcBorders>
          </w:tcPr>
          <w:p w:rsidR="00277926" w:rsidRDefault="00277926" w:rsidP="003C24E0">
            <w:pPr>
              <w:pStyle w:val="TableText"/>
              <w:spacing w:after="24"/>
            </w:pPr>
            <w:r>
              <w:t>Total</w:t>
            </w:r>
          </w:p>
        </w:tc>
        <w:tc>
          <w:tcPr>
            <w:tcW w:w="1066" w:type="dxa"/>
            <w:tcBorders>
              <w:bottom w:val="single" w:sz="4" w:space="0" w:color="A39892"/>
            </w:tcBorders>
          </w:tcPr>
          <w:p w:rsidR="00277926" w:rsidRDefault="00417F64" w:rsidP="003C24E0">
            <w:pPr>
              <w:pStyle w:val="TableText"/>
              <w:spacing w:after="24"/>
            </w:pPr>
            <w:r>
              <w:t>18</w:t>
            </w:r>
          </w:p>
        </w:tc>
        <w:tc>
          <w:tcPr>
            <w:tcW w:w="1065" w:type="dxa"/>
            <w:tcBorders>
              <w:bottom w:val="single" w:sz="4" w:space="0" w:color="A39892"/>
            </w:tcBorders>
          </w:tcPr>
          <w:p w:rsidR="00277926" w:rsidRDefault="00417F64" w:rsidP="003C24E0">
            <w:pPr>
              <w:pStyle w:val="TableText"/>
              <w:spacing w:after="24"/>
            </w:pPr>
            <w:r>
              <w:t>0</w:t>
            </w:r>
          </w:p>
        </w:tc>
        <w:tc>
          <w:tcPr>
            <w:tcW w:w="1066" w:type="dxa"/>
            <w:tcBorders>
              <w:bottom w:val="single" w:sz="4" w:space="0" w:color="A39892"/>
            </w:tcBorders>
          </w:tcPr>
          <w:p w:rsidR="00277926" w:rsidRDefault="00417F64" w:rsidP="003C24E0">
            <w:pPr>
              <w:pStyle w:val="TableText"/>
              <w:spacing w:after="24"/>
            </w:pPr>
            <w:r>
              <w:t>6</w:t>
            </w:r>
          </w:p>
        </w:tc>
        <w:tc>
          <w:tcPr>
            <w:tcW w:w="1065" w:type="dxa"/>
            <w:tcBorders>
              <w:bottom w:val="single" w:sz="4" w:space="0" w:color="A39892"/>
            </w:tcBorders>
          </w:tcPr>
          <w:p w:rsidR="00277926" w:rsidRDefault="00417F64" w:rsidP="003C24E0">
            <w:pPr>
              <w:pStyle w:val="TableText"/>
              <w:spacing w:after="24"/>
            </w:pPr>
            <w:r>
              <w:t>1</w:t>
            </w:r>
          </w:p>
        </w:tc>
        <w:tc>
          <w:tcPr>
            <w:tcW w:w="1066" w:type="dxa"/>
            <w:tcBorders>
              <w:bottom w:val="single" w:sz="4" w:space="0" w:color="A39892"/>
            </w:tcBorders>
          </w:tcPr>
          <w:p w:rsidR="00277926" w:rsidRDefault="00417F64" w:rsidP="003C24E0">
            <w:pPr>
              <w:pStyle w:val="TableText"/>
              <w:spacing w:after="24"/>
            </w:pPr>
            <w:r>
              <w:t>25</w:t>
            </w:r>
          </w:p>
        </w:tc>
      </w:tr>
      <w:tr w:rsidR="00277926" w:rsidTr="00A42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555" w:type="dxa"/>
            <w:tcBorders>
              <w:top w:val="single" w:sz="4" w:space="0" w:color="A39892"/>
              <w:left w:val="single" w:sz="4" w:space="0" w:color="A39892"/>
              <w:bottom w:val="nil"/>
              <w:right w:val="single" w:sz="4" w:space="0" w:color="A39892"/>
            </w:tcBorders>
          </w:tcPr>
          <w:p w:rsidR="00277926" w:rsidRDefault="00417F64" w:rsidP="003C24E0">
            <w:pPr>
              <w:pStyle w:val="TableText"/>
              <w:spacing w:after="24"/>
            </w:pPr>
            <w:r>
              <w:t>Part-time</w:t>
            </w:r>
          </w:p>
        </w:tc>
        <w:tc>
          <w:tcPr>
            <w:tcW w:w="1065" w:type="dxa"/>
            <w:tcBorders>
              <w:top w:val="single" w:sz="4" w:space="0" w:color="A39892"/>
              <w:left w:val="single" w:sz="4" w:space="0" w:color="A39892"/>
              <w:bottom w:val="single" w:sz="4" w:space="0" w:color="A39892"/>
              <w:right w:val="single" w:sz="4" w:space="0" w:color="A39892"/>
            </w:tcBorders>
          </w:tcPr>
          <w:p w:rsidR="00277926" w:rsidRDefault="00277926" w:rsidP="003C24E0">
            <w:pPr>
              <w:pStyle w:val="TableText"/>
              <w:spacing w:after="24"/>
            </w:pPr>
            <w:r>
              <w:t>Male</w:t>
            </w:r>
          </w:p>
        </w:tc>
        <w:tc>
          <w:tcPr>
            <w:tcW w:w="1066" w:type="dxa"/>
            <w:tcBorders>
              <w:top w:val="single" w:sz="4" w:space="0" w:color="A39892"/>
              <w:left w:val="single" w:sz="4" w:space="0" w:color="A39892"/>
              <w:bottom w:val="single" w:sz="4" w:space="0" w:color="A39892"/>
              <w:right w:val="single" w:sz="4" w:space="0" w:color="A39892"/>
            </w:tcBorders>
          </w:tcPr>
          <w:p w:rsidR="00277926" w:rsidRDefault="00417F64" w:rsidP="003C24E0">
            <w:pPr>
              <w:pStyle w:val="TableText"/>
              <w:spacing w:after="24"/>
            </w:pPr>
            <w:r>
              <w:t>0</w:t>
            </w:r>
          </w:p>
        </w:tc>
        <w:tc>
          <w:tcPr>
            <w:tcW w:w="1065" w:type="dxa"/>
            <w:tcBorders>
              <w:top w:val="single" w:sz="4" w:space="0" w:color="A39892"/>
              <w:left w:val="single" w:sz="4" w:space="0" w:color="A39892"/>
              <w:bottom w:val="single" w:sz="4" w:space="0" w:color="A39892"/>
              <w:right w:val="single" w:sz="4" w:space="0" w:color="A39892"/>
            </w:tcBorders>
          </w:tcPr>
          <w:p w:rsidR="00277926" w:rsidRDefault="00417F64" w:rsidP="003C24E0">
            <w:pPr>
              <w:pStyle w:val="TableText"/>
              <w:spacing w:after="24"/>
            </w:pPr>
            <w:r>
              <w:t>0</w:t>
            </w:r>
          </w:p>
        </w:tc>
        <w:tc>
          <w:tcPr>
            <w:tcW w:w="1066" w:type="dxa"/>
            <w:tcBorders>
              <w:top w:val="single" w:sz="4" w:space="0" w:color="A39892"/>
              <w:left w:val="single" w:sz="4" w:space="0" w:color="A39892"/>
              <w:bottom w:val="single" w:sz="4" w:space="0" w:color="A39892"/>
              <w:right w:val="single" w:sz="4" w:space="0" w:color="A39892"/>
            </w:tcBorders>
          </w:tcPr>
          <w:p w:rsidR="00277926" w:rsidRDefault="00417F64" w:rsidP="003C24E0">
            <w:pPr>
              <w:pStyle w:val="TableText"/>
              <w:spacing w:after="24"/>
            </w:pPr>
            <w:r>
              <w:t>0</w:t>
            </w:r>
          </w:p>
        </w:tc>
        <w:tc>
          <w:tcPr>
            <w:tcW w:w="1065" w:type="dxa"/>
            <w:tcBorders>
              <w:top w:val="single" w:sz="4" w:space="0" w:color="A39892"/>
              <w:left w:val="single" w:sz="4" w:space="0" w:color="A39892"/>
              <w:bottom w:val="single" w:sz="4" w:space="0" w:color="A39892"/>
              <w:right w:val="single" w:sz="4" w:space="0" w:color="A39892"/>
            </w:tcBorders>
          </w:tcPr>
          <w:p w:rsidR="00277926" w:rsidRDefault="00417F64" w:rsidP="003C24E0">
            <w:pPr>
              <w:pStyle w:val="TableText"/>
              <w:spacing w:after="24"/>
            </w:pPr>
            <w:r>
              <w:t>0</w:t>
            </w:r>
          </w:p>
        </w:tc>
        <w:tc>
          <w:tcPr>
            <w:tcW w:w="1066" w:type="dxa"/>
            <w:tcBorders>
              <w:top w:val="single" w:sz="4" w:space="0" w:color="A39892"/>
              <w:left w:val="single" w:sz="4" w:space="0" w:color="A39892"/>
              <w:bottom w:val="single" w:sz="4" w:space="0" w:color="A39892"/>
              <w:right w:val="single" w:sz="4" w:space="0" w:color="A39892"/>
            </w:tcBorders>
          </w:tcPr>
          <w:p w:rsidR="00277926" w:rsidRDefault="00417F64" w:rsidP="003C24E0">
            <w:pPr>
              <w:pStyle w:val="TableText"/>
              <w:spacing w:after="24"/>
            </w:pPr>
            <w:r>
              <w:t>0</w:t>
            </w:r>
          </w:p>
        </w:tc>
      </w:tr>
      <w:tr w:rsidR="00277926" w:rsidTr="00A42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555" w:type="dxa"/>
            <w:tcBorders>
              <w:top w:val="nil"/>
              <w:left w:val="single" w:sz="4" w:space="0" w:color="A39892"/>
              <w:bottom w:val="nil"/>
              <w:right w:val="single" w:sz="4" w:space="0" w:color="A39892"/>
            </w:tcBorders>
          </w:tcPr>
          <w:p w:rsidR="00277926" w:rsidRDefault="00277926" w:rsidP="003C24E0">
            <w:pPr>
              <w:pStyle w:val="TableText"/>
              <w:spacing w:after="24"/>
            </w:pPr>
          </w:p>
        </w:tc>
        <w:tc>
          <w:tcPr>
            <w:tcW w:w="1065" w:type="dxa"/>
            <w:tcBorders>
              <w:top w:val="single" w:sz="4" w:space="0" w:color="A39892"/>
              <w:left w:val="single" w:sz="4" w:space="0" w:color="A39892"/>
              <w:bottom w:val="single" w:sz="4" w:space="0" w:color="A39892"/>
              <w:right w:val="single" w:sz="4" w:space="0" w:color="A39892"/>
            </w:tcBorders>
          </w:tcPr>
          <w:p w:rsidR="00277926" w:rsidRDefault="00277926" w:rsidP="003C24E0">
            <w:pPr>
              <w:pStyle w:val="TableText"/>
              <w:spacing w:after="24"/>
            </w:pPr>
            <w:r>
              <w:t>Female</w:t>
            </w:r>
          </w:p>
        </w:tc>
        <w:tc>
          <w:tcPr>
            <w:tcW w:w="1066" w:type="dxa"/>
            <w:tcBorders>
              <w:top w:val="single" w:sz="4" w:space="0" w:color="A39892"/>
              <w:left w:val="single" w:sz="4" w:space="0" w:color="A39892"/>
              <w:bottom w:val="single" w:sz="4" w:space="0" w:color="A39892"/>
              <w:right w:val="single" w:sz="4" w:space="0" w:color="A39892"/>
            </w:tcBorders>
          </w:tcPr>
          <w:p w:rsidR="00277926" w:rsidRDefault="00417F64" w:rsidP="003C24E0">
            <w:pPr>
              <w:pStyle w:val="TableText"/>
              <w:spacing w:after="24"/>
            </w:pPr>
            <w:r>
              <w:t>1.3</w:t>
            </w:r>
          </w:p>
        </w:tc>
        <w:tc>
          <w:tcPr>
            <w:tcW w:w="1065" w:type="dxa"/>
            <w:tcBorders>
              <w:top w:val="single" w:sz="4" w:space="0" w:color="A39892"/>
              <w:left w:val="single" w:sz="4" w:space="0" w:color="A39892"/>
              <w:bottom w:val="single" w:sz="4" w:space="0" w:color="A39892"/>
              <w:right w:val="single" w:sz="4" w:space="0" w:color="A39892"/>
            </w:tcBorders>
          </w:tcPr>
          <w:p w:rsidR="00277926" w:rsidRDefault="00417F64" w:rsidP="003C24E0">
            <w:pPr>
              <w:pStyle w:val="TableText"/>
              <w:spacing w:after="24"/>
            </w:pPr>
            <w:r>
              <w:t>0</w:t>
            </w:r>
          </w:p>
        </w:tc>
        <w:tc>
          <w:tcPr>
            <w:tcW w:w="1066" w:type="dxa"/>
            <w:tcBorders>
              <w:top w:val="single" w:sz="4" w:space="0" w:color="A39892"/>
              <w:left w:val="single" w:sz="4" w:space="0" w:color="A39892"/>
              <w:bottom w:val="single" w:sz="4" w:space="0" w:color="A39892"/>
              <w:right w:val="single" w:sz="4" w:space="0" w:color="A39892"/>
            </w:tcBorders>
          </w:tcPr>
          <w:p w:rsidR="00277926" w:rsidRDefault="00417F64" w:rsidP="003C24E0">
            <w:pPr>
              <w:pStyle w:val="TableText"/>
              <w:spacing w:after="24"/>
            </w:pPr>
            <w:r>
              <w:t>2.2</w:t>
            </w:r>
          </w:p>
        </w:tc>
        <w:tc>
          <w:tcPr>
            <w:tcW w:w="1065" w:type="dxa"/>
            <w:tcBorders>
              <w:top w:val="single" w:sz="4" w:space="0" w:color="A39892"/>
              <w:left w:val="single" w:sz="4" w:space="0" w:color="A39892"/>
              <w:bottom w:val="single" w:sz="4" w:space="0" w:color="A39892"/>
              <w:right w:val="single" w:sz="4" w:space="0" w:color="A39892"/>
            </w:tcBorders>
          </w:tcPr>
          <w:p w:rsidR="00277926" w:rsidRDefault="00417F64" w:rsidP="003C24E0">
            <w:pPr>
              <w:pStyle w:val="TableText"/>
              <w:spacing w:after="24"/>
            </w:pPr>
            <w:r>
              <w:t>0</w:t>
            </w:r>
          </w:p>
        </w:tc>
        <w:tc>
          <w:tcPr>
            <w:tcW w:w="1066" w:type="dxa"/>
            <w:tcBorders>
              <w:top w:val="single" w:sz="4" w:space="0" w:color="A39892"/>
              <w:left w:val="single" w:sz="4" w:space="0" w:color="A39892"/>
              <w:bottom w:val="single" w:sz="4" w:space="0" w:color="A39892"/>
              <w:right w:val="single" w:sz="4" w:space="0" w:color="A39892"/>
            </w:tcBorders>
          </w:tcPr>
          <w:p w:rsidR="00277926" w:rsidRDefault="00417F64" w:rsidP="003C24E0">
            <w:pPr>
              <w:pStyle w:val="TableText"/>
              <w:spacing w:after="24"/>
            </w:pPr>
            <w:r>
              <w:t>3.5</w:t>
            </w:r>
          </w:p>
        </w:tc>
      </w:tr>
      <w:tr w:rsidR="00277926" w:rsidTr="00A42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555" w:type="dxa"/>
            <w:tcBorders>
              <w:top w:val="nil"/>
              <w:left w:val="single" w:sz="4" w:space="0" w:color="A39892"/>
              <w:bottom w:val="single" w:sz="4" w:space="0" w:color="A39892"/>
              <w:right w:val="single" w:sz="4" w:space="0" w:color="A39892"/>
            </w:tcBorders>
          </w:tcPr>
          <w:p w:rsidR="00277926" w:rsidRDefault="00277926" w:rsidP="003C24E0">
            <w:pPr>
              <w:pStyle w:val="TableText"/>
              <w:spacing w:after="24"/>
            </w:pPr>
          </w:p>
        </w:tc>
        <w:tc>
          <w:tcPr>
            <w:tcW w:w="1065" w:type="dxa"/>
            <w:tcBorders>
              <w:top w:val="single" w:sz="4" w:space="0" w:color="A39892"/>
              <w:left w:val="single" w:sz="4" w:space="0" w:color="A39892"/>
              <w:bottom w:val="single" w:sz="4" w:space="0" w:color="A39892"/>
              <w:right w:val="single" w:sz="4" w:space="0" w:color="A39892"/>
            </w:tcBorders>
          </w:tcPr>
          <w:p w:rsidR="00277926" w:rsidRDefault="00277926" w:rsidP="003C24E0">
            <w:pPr>
              <w:pStyle w:val="TableText"/>
              <w:spacing w:after="24"/>
            </w:pPr>
            <w:r>
              <w:t>Total</w:t>
            </w:r>
          </w:p>
        </w:tc>
        <w:tc>
          <w:tcPr>
            <w:tcW w:w="1066" w:type="dxa"/>
            <w:tcBorders>
              <w:top w:val="single" w:sz="4" w:space="0" w:color="A39892"/>
              <w:left w:val="single" w:sz="4" w:space="0" w:color="A39892"/>
              <w:bottom w:val="single" w:sz="4" w:space="0" w:color="A39892"/>
              <w:right w:val="single" w:sz="4" w:space="0" w:color="A39892"/>
            </w:tcBorders>
          </w:tcPr>
          <w:p w:rsidR="00277926" w:rsidRDefault="00417F64" w:rsidP="003C24E0">
            <w:pPr>
              <w:pStyle w:val="TableText"/>
              <w:spacing w:after="24"/>
            </w:pPr>
            <w:r>
              <w:t>1.3</w:t>
            </w:r>
          </w:p>
        </w:tc>
        <w:tc>
          <w:tcPr>
            <w:tcW w:w="1065" w:type="dxa"/>
            <w:tcBorders>
              <w:top w:val="single" w:sz="4" w:space="0" w:color="A39892"/>
              <w:left w:val="single" w:sz="4" w:space="0" w:color="A39892"/>
              <w:bottom w:val="single" w:sz="4" w:space="0" w:color="A39892"/>
              <w:right w:val="single" w:sz="4" w:space="0" w:color="A39892"/>
            </w:tcBorders>
          </w:tcPr>
          <w:p w:rsidR="00277926" w:rsidRDefault="00417F64" w:rsidP="003C24E0">
            <w:pPr>
              <w:pStyle w:val="TableText"/>
              <w:spacing w:after="24"/>
            </w:pPr>
            <w:r>
              <w:t>0</w:t>
            </w:r>
          </w:p>
        </w:tc>
        <w:tc>
          <w:tcPr>
            <w:tcW w:w="1066" w:type="dxa"/>
            <w:tcBorders>
              <w:top w:val="single" w:sz="4" w:space="0" w:color="A39892"/>
              <w:left w:val="single" w:sz="4" w:space="0" w:color="A39892"/>
              <w:bottom w:val="single" w:sz="4" w:space="0" w:color="A39892"/>
              <w:right w:val="single" w:sz="4" w:space="0" w:color="A39892"/>
            </w:tcBorders>
          </w:tcPr>
          <w:p w:rsidR="00277926" w:rsidRDefault="00417F64" w:rsidP="003C24E0">
            <w:pPr>
              <w:pStyle w:val="TableText"/>
              <w:spacing w:after="24"/>
            </w:pPr>
            <w:r>
              <w:t>2.2</w:t>
            </w:r>
          </w:p>
        </w:tc>
        <w:tc>
          <w:tcPr>
            <w:tcW w:w="1065" w:type="dxa"/>
            <w:tcBorders>
              <w:top w:val="single" w:sz="4" w:space="0" w:color="A39892"/>
              <w:left w:val="single" w:sz="4" w:space="0" w:color="A39892"/>
              <w:bottom w:val="single" w:sz="4" w:space="0" w:color="A39892"/>
              <w:right w:val="single" w:sz="4" w:space="0" w:color="A39892"/>
            </w:tcBorders>
          </w:tcPr>
          <w:p w:rsidR="00277926" w:rsidRDefault="00417F64" w:rsidP="003C24E0">
            <w:pPr>
              <w:pStyle w:val="TableText"/>
              <w:spacing w:after="24"/>
            </w:pPr>
            <w:r>
              <w:t>0</w:t>
            </w:r>
          </w:p>
        </w:tc>
        <w:tc>
          <w:tcPr>
            <w:tcW w:w="1066" w:type="dxa"/>
            <w:tcBorders>
              <w:top w:val="single" w:sz="4" w:space="0" w:color="A39892"/>
              <w:left w:val="single" w:sz="4" w:space="0" w:color="A39892"/>
              <w:bottom w:val="single" w:sz="4" w:space="0" w:color="A39892"/>
              <w:right w:val="single" w:sz="4" w:space="0" w:color="A39892"/>
            </w:tcBorders>
          </w:tcPr>
          <w:p w:rsidR="00277926" w:rsidRDefault="00417F64" w:rsidP="003C24E0">
            <w:pPr>
              <w:pStyle w:val="TableText"/>
              <w:spacing w:after="24"/>
            </w:pPr>
            <w:r>
              <w:t>3.5</w:t>
            </w:r>
          </w:p>
        </w:tc>
      </w:tr>
      <w:tr w:rsidR="00277926" w:rsidTr="00A42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555" w:type="dxa"/>
            <w:tcBorders>
              <w:top w:val="single" w:sz="4" w:space="0" w:color="A39892"/>
              <w:left w:val="single" w:sz="4" w:space="0" w:color="A39892"/>
              <w:bottom w:val="nil"/>
              <w:right w:val="single" w:sz="4" w:space="0" w:color="A39892"/>
            </w:tcBorders>
          </w:tcPr>
          <w:p w:rsidR="00277926" w:rsidRDefault="00417F64" w:rsidP="003C24E0">
            <w:pPr>
              <w:pStyle w:val="TableText"/>
              <w:spacing w:after="24"/>
            </w:pPr>
            <w:r>
              <w:t>Total all staff</w:t>
            </w:r>
          </w:p>
        </w:tc>
        <w:tc>
          <w:tcPr>
            <w:tcW w:w="1065" w:type="dxa"/>
            <w:tcBorders>
              <w:top w:val="single" w:sz="4" w:space="0" w:color="A39892"/>
              <w:left w:val="single" w:sz="4" w:space="0" w:color="A39892"/>
              <w:bottom w:val="single" w:sz="4" w:space="0" w:color="A39892"/>
              <w:right w:val="single" w:sz="4" w:space="0" w:color="A39892"/>
            </w:tcBorders>
          </w:tcPr>
          <w:p w:rsidR="00277926" w:rsidRDefault="00277926" w:rsidP="003C24E0">
            <w:pPr>
              <w:pStyle w:val="TableText"/>
              <w:spacing w:after="24"/>
            </w:pPr>
            <w:r>
              <w:t>Male</w:t>
            </w:r>
          </w:p>
        </w:tc>
        <w:tc>
          <w:tcPr>
            <w:tcW w:w="1066" w:type="dxa"/>
            <w:tcBorders>
              <w:top w:val="single" w:sz="4" w:space="0" w:color="A39892"/>
              <w:left w:val="single" w:sz="4" w:space="0" w:color="A39892"/>
              <w:bottom w:val="single" w:sz="4" w:space="0" w:color="A39892"/>
              <w:right w:val="single" w:sz="4" w:space="0" w:color="A39892"/>
            </w:tcBorders>
          </w:tcPr>
          <w:p w:rsidR="00277926" w:rsidRDefault="00417F64" w:rsidP="003C24E0">
            <w:pPr>
              <w:pStyle w:val="TableText"/>
              <w:spacing w:after="24"/>
            </w:pPr>
            <w:r>
              <w:t>8</w:t>
            </w:r>
          </w:p>
        </w:tc>
        <w:tc>
          <w:tcPr>
            <w:tcW w:w="1065" w:type="dxa"/>
            <w:tcBorders>
              <w:top w:val="single" w:sz="4" w:space="0" w:color="A39892"/>
              <w:left w:val="single" w:sz="4" w:space="0" w:color="A39892"/>
              <w:bottom w:val="single" w:sz="4" w:space="0" w:color="A39892"/>
              <w:right w:val="single" w:sz="4" w:space="0" w:color="A39892"/>
            </w:tcBorders>
          </w:tcPr>
          <w:p w:rsidR="00277926" w:rsidRDefault="00417F64" w:rsidP="003C24E0">
            <w:pPr>
              <w:pStyle w:val="TableText"/>
              <w:spacing w:after="24"/>
            </w:pPr>
            <w:r>
              <w:t>0</w:t>
            </w:r>
          </w:p>
        </w:tc>
        <w:tc>
          <w:tcPr>
            <w:tcW w:w="1066" w:type="dxa"/>
            <w:tcBorders>
              <w:top w:val="single" w:sz="4" w:space="0" w:color="A39892"/>
              <w:left w:val="single" w:sz="4" w:space="0" w:color="A39892"/>
              <w:bottom w:val="single" w:sz="4" w:space="0" w:color="A39892"/>
              <w:right w:val="single" w:sz="4" w:space="0" w:color="A39892"/>
            </w:tcBorders>
          </w:tcPr>
          <w:p w:rsidR="00277926" w:rsidRDefault="00417F64" w:rsidP="003C24E0">
            <w:pPr>
              <w:pStyle w:val="TableText"/>
              <w:spacing w:after="24"/>
            </w:pPr>
            <w:r>
              <w:t>0</w:t>
            </w:r>
          </w:p>
        </w:tc>
        <w:tc>
          <w:tcPr>
            <w:tcW w:w="1065" w:type="dxa"/>
            <w:tcBorders>
              <w:top w:val="single" w:sz="4" w:space="0" w:color="A39892"/>
              <w:left w:val="single" w:sz="4" w:space="0" w:color="A39892"/>
              <w:bottom w:val="single" w:sz="4" w:space="0" w:color="A39892"/>
              <w:right w:val="single" w:sz="4" w:space="0" w:color="A39892"/>
            </w:tcBorders>
          </w:tcPr>
          <w:p w:rsidR="00277926" w:rsidRDefault="00417F64" w:rsidP="003C24E0">
            <w:pPr>
              <w:pStyle w:val="TableText"/>
              <w:spacing w:after="24"/>
            </w:pPr>
            <w:r>
              <w:t>0</w:t>
            </w:r>
          </w:p>
        </w:tc>
        <w:tc>
          <w:tcPr>
            <w:tcW w:w="1066" w:type="dxa"/>
            <w:tcBorders>
              <w:top w:val="single" w:sz="4" w:space="0" w:color="A39892"/>
              <w:left w:val="single" w:sz="4" w:space="0" w:color="A39892"/>
              <w:bottom w:val="single" w:sz="4" w:space="0" w:color="A39892"/>
              <w:right w:val="single" w:sz="4" w:space="0" w:color="A39892"/>
            </w:tcBorders>
          </w:tcPr>
          <w:p w:rsidR="00277926" w:rsidRDefault="00417F64" w:rsidP="003C24E0">
            <w:pPr>
              <w:pStyle w:val="TableText"/>
              <w:spacing w:after="24"/>
            </w:pPr>
            <w:r>
              <w:t>8</w:t>
            </w:r>
          </w:p>
        </w:tc>
      </w:tr>
      <w:tr w:rsidR="00277926" w:rsidTr="00A42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555" w:type="dxa"/>
            <w:tcBorders>
              <w:top w:val="nil"/>
              <w:left w:val="single" w:sz="4" w:space="0" w:color="A39892"/>
              <w:bottom w:val="nil"/>
              <w:right w:val="single" w:sz="4" w:space="0" w:color="A39892"/>
            </w:tcBorders>
          </w:tcPr>
          <w:p w:rsidR="00277926" w:rsidRDefault="00277926" w:rsidP="003C24E0">
            <w:pPr>
              <w:pStyle w:val="TableText"/>
              <w:spacing w:after="24"/>
            </w:pPr>
          </w:p>
        </w:tc>
        <w:tc>
          <w:tcPr>
            <w:tcW w:w="1065" w:type="dxa"/>
            <w:tcBorders>
              <w:top w:val="single" w:sz="4" w:space="0" w:color="A39892"/>
              <w:left w:val="single" w:sz="4" w:space="0" w:color="A39892"/>
              <w:bottom w:val="single" w:sz="4" w:space="0" w:color="A39892"/>
              <w:right w:val="single" w:sz="4" w:space="0" w:color="A39892"/>
            </w:tcBorders>
          </w:tcPr>
          <w:p w:rsidR="00277926" w:rsidRDefault="00277926" w:rsidP="003C24E0">
            <w:pPr>
              <w:pStyle w:val="TableText"/>
              <w:spacing w:after="24"/>
            </w:pPr>
            <w:r>
              <w:t>Female</w:t>
            </w:r>
          </w:p>
        </w:tc>
        <w:tc>
          <w:tcPr>
            <w:tcW w:w="1066" w:type="dxa"/>
            <w:tcBorders>
              <w:top w:val="single" w:sz="4" w:space="0" w:color="A39892"/>
              <w:left w:val="single" w:sz="4" w:space="0" w:color="A39892"/>
              <w:bottom w:val="single" w:sz="4" w:space="0" w:color="A39892"/>
              <w:right w:val="single" w:sz="4" w:space="0" w:color="A39892"/>
            </w:tcBorders>
          </w:tcPr>
          <w:p w:rsidR="00277926" w:rsidRDefault="00417F64" w:rsidP="003C24E0">
            <w:pPr>
              <w:pStyle w:val="TableText"/>
              <w:spacing w:after="24"/>
            </w:pPr>
            <w:r>
              <w:t>11.3</w:t>
            </w:r>
          </w:p>
        </w:tc>
        <w:tc>
          <w:tcPr>
            <w:tcW w:w="1065" w:type="dxa"/>
            <w:tcBorders>
              <w:top w:val="single" w:sz="4" w:space="0" w:color="A39892"/>
              <w:left w:val="single" w:sz="4" w:space="0" w:color="A39892"/>
              <w:bottom w:val="single" w:sz="4" w:space="0" w:color="A39892"/>
              <w:right w:val="single" w:sz="4" w:space="0" w:color="A39892"/>
            </w:tcBorders>
          </w:tcPr>
          <w:p w:rsidR="00277926" w:rsidRDefault="00417F64" w:rsidP="003C24E0">
            <w:pPr>
              <w:pStyle w:val="TableText"/>
              <w:spacing w:after="24"/>
            </w:pPr>
            <w:r>
              <w:t>0</w:t>
            </w:r>
          </w:p>
        </w:tc>
        <w:tc>
          <w:tcPr>
            <w:tcW w:w="1066" w:type="dxa"/>
            <w:tcBorders>
              <w:top w:val="single" w:sz="4" w:space="0" w:color="A39892"/>
              <w:left w:val="single" w:sz="4" w:space="0" w:color="A39892"/>
              <w:bottom w:val="single" w:sz="4" w:space="0" w:color="A39892"/>
              <w:right w:val="single" w:sz="4" w:space="0" w:color="A39892"/>
            </w:tcBorders>
          </w:tcPr>
          <w:p w:rsidR="00277926" w:rsidRDefault="00417F64" w:rsidP="003C24E0">
            <w:pPr>
              <w:pStyle w:val="TableText"/>
              <w:spacing w:after="24"/>
            </w:pPr>
            <w:r>
              <w:t>8.2</w:t>
            </w:r>
          </w:p>
        </w:tc>
        <w:tc>
          <w:tcPr>
            <w:tcW w:w="1065" w:type="dxa"/>
            <w:tcBorders>
              <w:top w:val="single" w:sz="4" w:space="0" w:color="A39892"/>
              <w:left w:val="single" w:sz="4" w:space="0" w:color="A39892"/>
              <w:bottom w:val="single" w:sz="4" w:space="0" w:color="A39892"/>
              <w:right w:val="single" w:sz="4" w:space="0" w:color="A39892"/>
            </w:tcBorders>
          </w:tcPr>
          <w:p w:rsidR="00277926" w:rsidRDefault="00417F64" w:rsidP="003C24E0">
            <w:pPr>
              <w:pStyle w:val="TableText"/>
              <w:spacing w:after="24"/>
            </w:pPr>
            <w:r>
              <w:t>1</w:t>
            </w:r>
          </w:p>
        </w:tc>
        <w:tc>
          <w:tcPr>
            <w:tcW w:w="1066" w:type="dxa"/>
            <w:tcBorders>
              <w:top w:val="single" w:sz="4" w:space="0" w:color="A39892"/>
              <w:left w:val="single" w:sz="4" w:space="0" w:color="A39892"/>
              <w:bottom w:val="single" w:sz="4" w:space="0" w:color="A39892"/>
              <w:right w:val="single" w:sz="4" w:space="0" w:color="A39892"/>
            </w:tcBorders>
          </w:tcPr>
          <w:p w:rsidR="00277926" w:rsidRDefault="00417F64" w:rsidP="003C24E0">
            <w:pPr>
              <w:pStyle w:val="TableText"/>
              <w:spacing w:after="24"/>
            </w:pPr>
            <w:r>
              <w:t>20.5</w:t>
            </w:r>
          </w:p>
        </w:tc>
      </w:tr>
      <w:tr w:rsidR="00277926" w:rsidTr="00A42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555" w:type="dxa"/>
            <w:tcBorders>
              <w:top w:val="nil"/>
              <w:left w:val="single" w:sz="4" w:space="0" w:color="A39892"/>
              <w:bottom w:val="single" w:sz="4" w:space="0" w:color="A39892"/>
              <w:right w:val="single" w:sz="4" w:space="0" w:color="A39892"/>
            </w:tcBorders>
          </w:tcPr>
          <w:p w:rsidR="00277926" w:rsidRDefault="00277926" w:rsidP="003C24E0">
            <w:pPr>
              <w:pStyle w:val="TableText"/>
              <w:spacing w:after="24"/>
            </w:pPr>
          </w:p>
        </w:tc>
        <w:tc>
          <w:tcPr>
            <w:tcW w:w="1065" w:type="dxa"/>
            <w:tcBorders>
              <w:top w:val="single" w:sz="4" w:space="0" w:color="A39892"/>
              <w:left w:val="single" w:sz="4" w:space="0" w:color="A39892"/>
              <w:bottom w:val="single" w:sz="4" w:space="0" w:color="A39892"/>
              <w:right w:val="single" w:sz="4" w:space="0" w:color="A39892"/>
            </w:tcBorders>
          </w:tcPr>
          <w:p w:rsidR="00277926" w:rsidRDefault="00277926" w:rsidP="003C24E0">
            <w:pPr>
              <w:pStyle w:val="TableText"/>
              <w:spacing w:after="24"/>
            </w:pPr>
            <w:r>
              <w:t>Total</w:t>
            </w:r>
          </w:p>
        </w:tc>
        <w:tc>
          <w:tcPr>
            <w:tcW w:w="1066" w:type="dxa"/>
            <w:tcBorders>
              <w:top w:val="single" w:sz="4" w:space="0" w:color="A39892"/>
              <w:left w:val="single" w:sz="4" w:space="0" w:color="A39892"/>
              <w:bottom w:val="single" w:sz="4" w:space="0" w:color="A39892"/>
              <w:right w:val="single" w:sz="4" w:space="0" w:color="A39892"/>
            </w:tcBorders>
          </w:tcPr>
          <w:p w:rsidR="00277926" w:rsidRDefault="00417F64" w:rsidP="003C24E0">
            <w:pPr>
              <w:pStyle w:val="TableText"/>
              <w:spacing w:after="24"/>
            </w:pPr>
            <w:r>
              <w:t>19.3</w:t>
            </w:r>
          </w:p>
        </w:tc>
        <w:tc>
          <w:tcPr>
            <w:tcW w:w="1065" w:type="dxa"/>
            <w:tcBorders>
              <w:top w:val="single" w:sz="4" w:space="0" w:color="A39892"/>
              <w:left w:val="single" w:sz="4" w:space="0" w:color="A39892"/>
              <w:bottom w:val="single" w:sz="4" w:space="0" w:color="A39892"/>
              <w:right w:val="single" w:sz="4" w:space="0" w:color="A39892"/>
            </w:tcBorders>
          </w:tcPr>
          <w:p w:rsidR="00277926" w:rsidRDefault="00417F64" w:rsidP="003C24E0">
            <w:pPr>
              <w:pStyle w:val="TableText"/>
              <w:spacing w:after="24"/>
            </w:pPr>
            <w:r>
              <w:t>0</w:t>
            </w:r>
          </w:p>
        </w:tc>
        <w:tc>
          <w:tcPr>
            <w:tcW w:w="1066" w:type="dxa"/>
            <w:tcBorders>
              <w:top w:val="single" w:sz="4" w:space="0" w:color="A39892"/>
              <w:left w:val="single" w:sz="4" w:space="0" w:color="A39892"/>
              <w:bottom w:val="single" w:sz="4" w:space="0" w:color="A39892"/>
              <w:right w:val="single" w:sz="4" w:space="0" w:color="A39892"/>
            </w:tcBorders>
          </w:tcPr>
          <w:p w:rsidR="00277926" w:rsidRDefault="00417F64" w:rsidP="003C24E0">
            <w:pPr>
              <w:pStyle w:val="TableText"/>
              <w:spacing w:after="24"/>
            </w:pPr>
            <w:r>
              <w:t>8.2</w:t>
            </w:r>
          </w:p>
        </w:tc>
        <w:tc>
          <w:tcPr>
            <w:tcW w:w="1065" w:type="dxa"/>
            <w:tcBorders>
              <w:top w:val="single" w:sz="4" w:space="0" w:color="A39892"/>
              <w:left w:val="single" w:sz="4" w:space="0" w:color="A39892"/>
              <w:bottom w:val="single" w:sz="4" w:space="0" w:color="A39892"/>
              <w:right w:val="single" w:sz="4" w:space="0" w:color="A39892"/>
            </w:tcBorders>
          </w:tcPr>
          <w:p w:rsidR="00277926" w:rsidRDefault="00417F64" w:rsidP="003C24E0">
            <w:pPr>
              <w:pStyle w:val="TableText"/>
              <w:spacing w:after="24"/>
            </w:pPr>
            <w:r>
              <w:t>1</w:t>
            </w:r>
          </w:p>
        </w:tc>
        <w:tc>
          <w:tcPr>
            <w:tcW w:w="1066" w:type="dxa"/>
            <w:tcBorders>
              <w:top w:val="single" w:sz="4" w:space="0" w:color="A39892"/>
              <w:left w:val="single" w:sz="4" w:space="0" w:color="A39892"/>
              <w:bottom w:val="single" w:sz="4" w:space="0" w:color="A39892"/>
              <w:right w:val="single" w:sz="4" w:space="0" w:color="A39892"/>
            </w:tcBorders>
          </w:tcPr>
          <w:p w:rsidR="00277926" w:rsidRDefault="00417F64" w:rsidP="003C24E0">
            <w:pPr>
              <w:pStyle w:val="TableText"/>
              <w:spacing w:after="24"/>
            </w:pPr>
            <w:r>
              <w:t>28.5</w:t>
            </w:r>
          </w:p>
        </w:tc>
      </w:tr>
    </w:tbl>
    <w:p w:rsidR="00057E32" w:rsidRDefault="00057E32" w:rsidP="00C74977"/>
    <w:p w:rsidR="00417F64" w:rsidRDefault="003C24E0" w:rsidP="003C24E0">
      <w:pPr>
        <w:pStyle w:val="FigureName"/>
      </w:pPr>
      <w:r w:rsidRPr="003C24E0">
        <w:t>Graph 5.1: Distribution of staff by state, 30 June 2018</w:t>
      </w:r>
    </w:p>
    <w:p w:rsidR="003C24E0" w:rsidRDefault="006A417F" w:rsidP="006A417F">
      <w:pPr>
        <w:pStyle w:val="FigurePara"/>
        <w:jc w:val="center"/>
      </w:pPr>
      <w:r>
        <w:rPr>
          <w:noProof/>
          <w:lang w:eastAsia="en-AU"/>
        </w:rPr>
        <w:drawing>
          <wp:inline distT="0" distB="0" distL="0" distR="0" wp14:anchorId="243840F0" wp14:editId="1D1FFA2D">
            <wp:extent cx="2813050" cy="2365375"/>
            <wp:effectExtent l="0" t="0" r="6350" b="0"/>
            <wp:docPr id="44" name="Picture 44" descr="67.7% of VRB staff were based in NSW, 28.8% in QLD and 3.5% in SA. In terms of job classification 3.5% of staff were at Executive Level 2, 26% of staff were at Executive Level 1, 10.5% of staff were at APS Level 6, 10.2% of staff were at APS Level 5 and 49.8% of staff were at APS Level 4. 71.9% of staff were female and 28.1% were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DP Plus\Docs\DVA\Veterans' Review Board\Annual Report 2017-18\sourcedocs\Graph 5.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13050" cy="2365375"/>
                    </a:xfrm>
                    <a:prstGeom prst="rect">
                      <a:avLst/>
                    </a:prstGeom>
                    <a:noFill/>
                    <a:ln>
                      <a:noFill/>
                    </a:ln>
                  </pic:spPr>
                </pic:pic>
              </a:graphicData>
            </a:graphic>
          </wp:inline>
        </w:drawing>
      </w:r>
      <w:r>
        <w:br/>
      </w:r>
    </w:p>
    <w:p w:rsidR="003C24E0" w:rsidRDefault="003C24E0" w:rsidP="003C24E0">
      <w:pPr>
        <w:pStyle w:val="FigureName"/>
      </w:pPr>
      <w:r w:rsidRPr="003C24E0">
        <w:lastRenderedPageBreak/>
        <w:t>Graph 5.2: Distribution of staff by classification, 30 June 2018</w:t>
      </w:r>
    </w:p>
    <w:p w:rsidR="003C24E0" w:rsidRDefault="006A417F" w:rsidP="006A417F">
      <w:pPr>
        <w:pStyle w:val="FigurePara"/>
        <w:jc w:val="center"/>
      </w:pPr>
      <w:r>
        <w:rPr>
          <w:noProof/>
          <w:lang w:eastAsia="en-AU"/>
        </w:rPr>
        <w:drawing>
          <wp:inline distT="0" distB="0" distL="0" distR="0" wp14:anchorId="6ECD52A8" wp14:editId="55E8EDB7">
            <wp:extent cx="2604135" cy="2633980"/>
            <wp:effectExtent l="0" t="0" r="5715" b="0"/>
            <wp:docPr id="45" name="Picture 45" descr="Graph 5.2: Distribution of staff by classification, 30 Jun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DP Plus\Docs\DVA\Veterans' Review Board\Annual Report 2017-18\sourcedocs\Graph 5.2.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04135" cy="2633980"/>
                    </a:xfrm>
                    <a:prstGeom prst="rect">
                      <a:avLst/>
                    </a:prstGeom>
                    <a:noFill/>
                    <a:ln>
                      <a:noFill/>
                    </a:ln>
                  </pic:spPr>
                </pic:pic>
              </a:graphicData>
            </a:graphic>
          </wp:inline>
        </w:drawing>
      </w:r>
    </w:p>
    <w:p w:rsidR="003C24E0" w:rsidRDefault="003C24E0" w:rsidP="003C24E0">
      <w:pPr>
        <w:pStyle w:val="FigureName"/>
      </w:pPr>
      <w:r w:rsidRPr="003C24E0">
        <w:t>Graph 5.3: Distribution of staff by gender, 30 June 2018</w:t>
      </w:r>
    </w:p>
    <w:p w:rsidR="003C24E0" w:rsidRDefault="006A417F" w:rsidP="006A417F">
      <w:pPr>
        <w:pStyle w:val="FigurePara"/>
        <w:jc w:val="center"/>
      </w:pPr>
      <w:r>
        <w:br/>
      </w:r>
      <w:r>
        <w:rPr>
          <w:noProof/>
          <w:lang w:eastAsia="en-AU"/>
        </w:rPr>
        <w:drawing>
          <wp:inline distT="0" distB="0" distL="0" distR="0" wp14:anchorId="63F47AE4" wp14:editId="351B6EDF">
            <wp:extent cx="2693670" cy="1848485"/>
            <wp:effectExtent l="0" t="0" r="0" b="0"/>
            <wp:docPr id="46" name="Picture 46" descr="Graph 5.3: Distribution of staff by gender, 30 Jun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DP Plus\Docs\DVA\Veterans' Review Board\Annual Report 2017-18\sourcedocs\Graph 5.3.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93670" cy="1848485"/>
                    </a:xfrm>
                    <a:prstGeom prst="rect">
                      <a:avLst/>
                    </a:prstGeom>
                    <a:noFill/>
                    <a:ln>
                      <a:noFill/>
                    </a:ln>
                  </pic:spPr>
                </pic:pic>
              </a:graphicData>
            </a:graphic>
          </wp:inline>
        </w:drawing>
      </w:r>
      <w:r>
        <w:br/>
      </w:r>
    </w:p>
    <w:p w:rsidR="006A417F" w:rsidRDefault="006A417F" w:rsidP="006A417F">
      <w:pPr>
        <w:pStyle w:val="Heading3"/>
      </w:pPr>
      <w:bookmarkStart w:id="27" w:name="TOC_membership2"/>
      <w:bookmarkEnd w:id="26"/>
      <w:r>
        <w:t>Members</w:t>
      </w:r>
      <w:r w:rsidR="0018474C">
        <w:fldChar w:fldCharType="begin"/>
      </w:r>
      <w:r w:rsidR="0018474C">
        <w:instrText xml:space="preserve"> XE "</w:instrText>
      </w:r>
      <w:r w:rsidR="0018474C" w:rsidRPr="003924C2">
        <w:instrText>membership</w:instrText>
      </w:r>
      <w:r w:rsidR="0018474C">
        <w:instrText xml:space="preserve">" \r "TOC_membership2" </w:instrText>
      </w:r>
      <w:r w:rsidR="0018474C">
        <w:fldChar w:fldCharType="end"/>
      </w:r>
    </w:p>
    <w:p w:rsidR="006A417F" w:rsidRDefault="006A417F" w:rsidP="006A417F">
      <w:r>
        <w:t>At 30 June 2018 there were 34 members of the VRB: the Principal Member</w:t>
      </w:r>
      <w:r w:rsidR="001D1DCA">
        <w:fldChar w:fldCharType="begin"/>
      </w:r>
      <w:r w:rsidR="001D1DCA">
        <w:instrText xml:space="preserve"> XE "Principal M</w:instrText>
      </w:r>
      <w:r w:rsidR="001D1DCA" w:rsidRPr="003924C2">
        <w:instrText>ember</w:instrText>
      </w:r>
      <w:r w:rsidR="001D1DCA">
        <w:instrText xml:space="preserve">" \r "TOC_membership2" </w:instrText>
      </w:r>
      <w:r w:rsidR="001D1DCA">
        <w:fldChar w:fldCharType="end"/>
      </w:r>
      <w:r>
        <w:t>, 11 Senior Members, 13 Services Members and 9 Members. Of these, the Principal Member was the only full-time appointee, all others were part-time. The number of women holding appointments was 14.</w:t>
      </w:r>
    </w:p>
    <w:p w:rsidR="003C24E0" w:rsidRDefault="006A417F" w:rsidP="006A417F">
      <w:r>
        <w:t>The break-up of membership at the end of the financial year is set out in Table 14 and Charts 5.4 to 5.6. Further details of the VRB membership are provided in Appendices 3 and 4.</w:t>
      </w:r>
    </w:p>
    <w:tbl>
      <w:tblPr>
        <w:tblStyle w:val="TableGrid"/>
        <w:tblW w:w="5000" w:type="pct"/>
        <w:tblBorders>
          <w:top w:val="single" w:sz="4" w:space="0" w:color="A39892"/>
          <w:left w:val="single" w:sz="4" w:space="0" w:color="A39892"/>
          <w:bottom w:val="single" w:sz="4" w:space="0" w:color="A39892"/>
          <w:right w:val="single" w:sz="4" w:space="0" w:color="A39892"/>
          <w:insideH w:val="single" w:sz="4" w:space="0" w:color="A39892"/>
          <w:insideV w:val="single" w:sz="4" w:space="0" w:color="A39892"/>
        </w:tblBorders>
        <w:tblLayout w:type="fixed"/>
        <w:tblCellMar>
          <w:left w:w="115" w:type="dxa"/>
          <w:right w:w="115" w:type="dxa"/>
        </w:tblCellMar>
        <w:tblLook w:val="04A0" w:firstRow="1" w:lastRow="0" w:firstColumn="1" w:lastColumn="0" w:noHBand="0" w:noVBand="1"/>
      </w:tblPr>
      <w:tblGrid>
        <w:gridCol w:w="1555"/>
        <w:gridCol w:w="1065"/>
        <w:gridCol w:w="666"/>
        <w:gridCol w:w="666"/>
        <w:gridCol w:w="666"/>
        <w:gridCol w:w="666"/>
        <w:gridCol w:w="666"/>
        <w:gridCol w:w="666"/>
        <w:gridCol w:w="666"/>
        <w:gridCol w:w="666"/>
      </w:tblGrid>
      <w:tr w:rsidR="004E712E" w:rsidTr="00A42141">
        <w:trPr>
          <w:cantSplit/>
        </w:trPr>
        <w:tc>
          <w:tcPr>
            <w:tcW w:w="7948" w:type="dxa"/>
            <w:gridSpan w:val="10"/>
            <w:tcBorders>
              <w:bottom w:val="single" w:sz="4" w:space="0" w:color="A39892"/>
            </w:tcBorders>
            <w:shd w:val="clear" w:color="auto" w:fill="A39892"/>
          </w:tcPr>
          <w:p w:rsidR="004E712E" w:rsidRDefault="004E712E" w:rsidP="009E5C4D">
            <w:pPr>
              <w:pStyle w:val="TableName"/>
              <w:spacing w:before="120" w:after="60"/>
            </w:pPr>
            <w:r>
              <w:lastRenderedPageBreak/>
              <w:t>Table 1</w:t>
            </w:r>
            <w:r w:rsidR="009E5C4D">
              <w:t>3</w:t>
            </w:r>
            <w:r>
              <w:t xml:space="preserve">: </w:t>
            </w:r>
            <w:r w:rsidR="009E5C4D">
              <w:t>Members</w:t>
            </w:r>
          </w:p>
        </w:tc>
      </w:tr>
      <w:tr w:rsidR="004E712E" w:rsidRPr="00057E32" w:rsidTr="004E712E">
        <w:trPr>
          <w:cantSplit/>
        </w:trPr>
        <w:tc>
          <w:tcPr>
            <w:tcW w:w="1555" w:type="dxa"/>
            <w:tcBorders>
              <w:bottom w:val="single" w:sz="4" w:space="0" w:color="A39892"/>
            </w:tcBorders>
            <w:shd w:val="clear" w:color="auto" w:fill="C6BDB6"/>
          </w:tcPr>
          <w:p w:rsidR="004E712E" w:rsidRPr="00057E32" w:rsidRDefault="004E712E" w:rsidP="00A42141">
            <w:pPr>
              <w:pStyle w:val="TableText"/>
              <w:spacing w:before="50" w:after="20"/>
              <w:rPr>
                <w:b/>
              </w:rPr>
            </w:pPr>
          </w:p>
        </w:tc>
        <w:tc>
          <w:tcPr>
            <w:tcW w:w="1065" w:type="dxa"/>
            <w:shd w:val="clear" w:color="auto" w:fill="C6BDB6"/>
          </w:tcPr>
          <w:p w:rsidR="004E712E" w:rsidRPr="00057E32" w:rsidRDefault="004E712E" w:rsidP="00A42141">
            <w:pPr>
              <w:pStyle w:val="TableText"/>
              <w:spacing w:before="50" w:after="20"/>
              <w:rPr>
                <w:b/>
              </w:rPr>
            </w:pPr>
            <w:r w:rsidRPr="00057E32">
              <w:rPr>
                <w:b/>
              </w:rPr>
              <w:t>Gender</w:t>
            </w:r>
          </w:p>
        </w:tc>
        <w:tc>
          <w:tcPr>
            <w:tcW w:w="666" w:type="dxa"/>
            <w:tcBorders>
              <w:bottom w:val="single" w:sz="4" w:space="0" w:color="A39892"/>
            </w:tcBorders>
            <w:shd w:val="clear" w:color="auto" w:fill="C6BDB6"/>
          </w:tcPr>
          <w:p w:rsidR="004E712E" w:rsidRPr="00057E32" w:rsidRDefault="004E712E" w:rsidP="00A42141">
            <w:pPr>
              <w:pStyle w:val="TableText"/>
              <w:spacing w:before="50" w:after="20"/>
              <w:rPr>
                <w:b/>
              </w:rPr>
            </w:pPr>
            <w:r>
              <w:rPr>
                <w:b/>
              </w:rPr>
              <w:t>ACT</w:t>
            </w:r>
          </w:p>
        </w:tc>
        <w:tc>
          <w:tcPr>
            <w:tcW w:w="666" w:type="dxa"/>
            <w:tcBorders>
              <w:bottom w:val="single" w:sz="4" w:space="0" w:color="A39892"/>
            </w:tcBorders>
            <w:shd w:val="clear" w:color="auto" w:fill="C6BDB6"/>
          </w:tcPr>
          <w:p w:rsidR="004E712E" w:rsidRPr="00057E32" w:rsidRDefault="004E712E" w:rsidP="00A42141">
            <w:pPr>
              <w:pStyle w:val="TableText"/>
              <w:spacing w:before="50" w:after="20"/>
              <w:rPr>
                <w:b/>
              </w:rPr>
            </w:pPr>
            <w:r>
              <w:rPr>
                <w:b/>
              </w:rPr>
              <w:t>NSW</w:t>
            </w:r>
          </w:p>
        </w:tc>
        <w:tc>
          <w:tcPr>
            <w:tcW w:w="666" w:type="dxa"/>
            <w:tcBorders>
              <w:bottom w:val="single" w:sz="4" w:space="0" w:color="A39892"/>
            </w:tcBorders>
            <w:shd w:val="clear" w:color="auto" w:fill="C6BDB6"/>
          </w:tcPr>
          <w:p w:rsidR="004E712E" w:rsidRPr="00057E32" w:rsidRDefault="004E712E" w:rsidP="00A42141">
            <w:pPr>
              <w:pStyle w:val="TableText"/>
              <w:spacing w:before="50" w:after="20"/>
              <w:rPr>
                <w:b/>
              </w:rPr>
            </w:pPr>
            <w:r w:rsidRPr="00057E32">
              <w:rPr>
                <w:b/>
              </w:rPr>
              <w:t>VIC</w:t>
            </w:r>
          </w:p>
        </w:tc>
        <w:tc>
          <w:tcPr>
            <w:tcW w:w="666" w:type="dxa"/>
            <w:tcBorders>
              <w:bottom w:val="single" w:sz="4" w:space="0" w:color="A39892"/>
            </w:tcBorders>
            <w:shd w:val="clear" w:color="auto" w:fill="C6BDB6"/>
          </w:tcPr>
          <w:p w:rsidR="004E712E" w:rsidRPr="00057E32" w:rsidRDefault="004E712E" w:rsidP="00A42141">
            <w:pPr>
              <w:pStyle w:val="TableText"/>
              <w:spacing w:before="50" w:after="20"/>
              <w:rPr>
                <w:b/>
              </w:rPr>
            </w:pPr>
            <w:r>
              <w:rPr>
                <w:b/>
              </w:rPr>
              <w:t>QLD</w:t>
            </w:r>
          </w:p>
        </w:tc>
        <w:tc>
          <w:tcPr>
            <w:tcW w:w="666" w:type="dxa"/>
            <w:tcBorders>
              <w:bottom w:val="single" w:sz="4" w:space="0" w:color="A39892"/>
            </w:tcBorders>
            <w:shd w:val="clear" w:color="auto" w:fill="C6BDB6"/>
          </w:tcPr>
          <w:p w:rsidR="004E712E" w:rsidRPr="00057E32" w:rsidRDefault="004E712E" w:rsidP="00A42141">
            <w:pPr>
              <w:pStyle w:val="TableText"/>
              <w:spacing w:before="50" w:after="20"/>
              <w:rPr>
                <w:b/>
              </w:rPr>
            </w:pPr>
            <w:r>
              <w:rPr>
                <w:b/>
              </w:rPr>
              <w:t>SA</w:t>
            </w:r>
          </w:p>
        </w:tc>
        <w:tc>
          <w:tcPr>
            <w:tcW w:w="666" w:type="dxa"/>
            <w:tcBorders>
              <w:bottom w:val="single" w:sz="4" w:space="0" w:color="A39892"/>
            </w:tcBorders>
            <w:shd w:val="clear" w:color="auto" w:fill="C6BDB6"/>
          </w:tcPr>
          <w:p w:rsidR="004E712E" w:rsidRPr="00057E32" w:rsidRDefault="004E712E" w:rsidP="00A42141">
            <w:pPr>
              <w:pStyle w:val="TableText"/>
              <w:spacing w:before="50" w:after="20"/>
              <w:rPr>
                <w:b/>
              </w:rPr>
            </w:pPr>
            <w:r>
              <w:rPr>
                <w:b/>
              </w:rPr>
              <w:t>WA</w:t>
            </w:r>
          </w:p>
        </w:tc>
        <w:tc>
          <w:tcPr>
            <w:tcW w:w="666" w:type="dxa"/>
            <w:shd w:val="clear" w:color="auto" w:fill="C6BDB6"/>
          </w:tcPr>
          <w:p w:rsidR="004E712E" w:rsidRPr="00057E32" w:rsidRDefault="004E712E" w:rsidP="00A42141">
            <w:pPr>
              <w:pStyle w:val="TableText"/>
              <w:spacing w:before="50" w:after="20"/>
              <w:rPr>
                <w:b/>
              </w:rPr>
            </w:pPr>
            <w:r>
              <w:rPr>
                <w:b/>
              </w:rPr>
              <w:t>TAS</w:t>
            </w:r>
          </w:p>
        </w:tc>
        <w:tc>
          <w:tcPr>
            <w:tcW w:w="666" w:type="dxa"/>
            <w:shd w:val="clear" w:color="auto" w:fill="C6BDB6"/>
          </w:tcPr>
          <w:p w:rsidR="004E712E" w:rsidRPr="00057E32" w:rsidRDefault="004E712E" w:rsidP="00A42141">
            <w:pPr>
              <w:pStyle w:val="TableText"/>
              <w:spacing w:before="50" w:after="20"/>
              <w:rPr>
                <w:b/>
              </w:rPr>
            </w:pPr>
            <w:r w:rsidRPr="00057E32">
              <w:rPr>
                <w:b/>
              </w:rPr>
              <w:t>AUST</w:t>
            </w:r>
          </w:p>
        </w:tc>
      </w:tr>
      <w:tr w:rsidR="004E712E" w:rsidTr="004E712E">
        <w:trPr>
          <w:cantSplit/>
        </w:trPr>
        <w:tc>
          <w:tcPr>
            <w:tcW w:w="1555" w:type="dxa"/>
            <w:tcBorders>
              <w:bottom w:val="nil"/>
            </w:tcBorders>
          </w:tcPr>
          <w:p w:rsidR="004E712E" w:rsidRDefault="004E712E" w:rsidP="00A42141">
            <w:pPr>
              <w:pStyle w:val="TableText"/>
              <w:spacing w:after="24"/>
            </w:pPr>
            <w:r>
              <w:t>Principal Member</w:t>
            </w:r>
          </w:p>
        </w:tc>
        <w:tc>
          <w:tcPr>
            <w:tcW w:w="1065" w:type="dxa"/>
          </w:tcPr>
          <w:p w:rsidR="004E712E" w:rsidRDefault="004E712E" w:rsidP="00A42141">
            <w:pPr>
              <w:pStyle w:val="TableText"/>
              <w:spacing w:after="24"/>
            </w:pPr>
            <w:r>
              <w:t>Female</w:t>
            </w:r>
          </w:p>
        </w:tc>
        <w:tc>
          <w:tcPr>
            <w:tcW w:w="666" w:type="dxa"/>
            <w:shd w:val="clear" w:color="auto" w:fill="auto"/>
          </w:tcPr>
          <w:p w:rsidR="004E712E" w:rsidRDefault="004E712E" w:rsidP="00A42141">
            <w:pPr>
              <w:pStyle w:val="TableText"/>
              <w:spacing w:after="24"/>
            </w:pPr>
          </w:p>
        </w:tc>
        <w:tc>
          <w:tcPr>
            <w:tcW w:w="666" w:type="dxa"/>
            <w:shd w:val="clear" w:color="auto" w:fill="auto"/>
          </w:tcPr>
          <w:p w:rsidR="004E712E" w:rsidRDefault="004E712E" w:rsidP="00A42141">
            <w:pPr>
              <w:pStyle w:val="TableText"/>
              <w:spacing w:after="24"/>
            </w:pPr>
            <w:r>
              <w:t>1</w:t>
            </w:r>
          </w:p>
        </w:tc>
        <w:tc>
          <w:tcPr>
            <w:tcW w:w="666" w:type="dxa"/>
            <w:shd w:val="clear" w:color="auto" w:fill="auto"/>
          </w:tcPr>
          <w:p w:rsidR="004E712E" w:rsidRDefault="004E712E" w:rsidP="00A42141">
            <w:pPr>
              <w:pStyle w:val="TableText"/>
              <w:spacing w:after="24"/>
            </w:pPr>
          </w:p>
        </w:tc>
        <w:tc>
          <w:tcPr>
            <w:tcW w:w="666" w:type="dxa"/>
            <w:shd w:val="clear" w:color="auto" w:fill="auto"/>
          </w:tcPr>
          <w:p w:rsidR="004E712E" w:rsidRDefault="004E712E" w:rsidP="00A42141">
            <w:pPr>
              <w:pStyle w:val="TableText"/>
              <w:spacing w:after="24"/>
            </w:pPr>
          </w:p>
        </w:tc>
        <w:tc>
          <w:tcPr>
            <w:tcW w:w="666" w:type="dxa"/>
            <w:shd w:val="clear" w:color="auto" w:fill="auto"/>
          </w:tcPr>
          <w:p w:rsidR="004E712E" w:rsidRDefault="004E712E" w:rsidP="00A42141">
            <w:pPr>
              <w:pStyle w:val="TableText"/>
              <w:spacing w:after="24"/>
            </w:pPr>
          </w:p>
        </w:tc>
        <w:tc>
          <w:tcPr>
            <w:tcW w:w="666" w:type="dxa"/>
            <w:shd w:val="clear" w:color="auto" w:fill="auto"/>
          </w:tcPr>
          <w:p w:rsidR="004E712E" w:rsidRDefault="004E712E" w:rsidP="00A42141">
            <w:pPr>
              <w:pStyle w:val="TableText"/>
              <w:spacing w:after="24"/>
            </w:pPr>
          </w:p>
        </w:tc>
        <w:tc>
          <w:tcPr>
            <w:tcW w:w="666" w:type="dxa"/>
          </w:tcPr>
          <w:p w:rsidR="004E712E" w:rsidRDefault="004E712E" w:rsidP="00A42141">
            <w:pPr>
              <w:pStyle w:val="TableText"/>
              <w:spacing w:after="24"/>
            </w:pPr>
          </w:p>
        </w:tc>
        <w:tc>
          <w:tcPr>
            <w:tcW w:w="666" w:type="dxa"/>
          </w:tcPr>
          <w:p w:rsidR="004E712E" w:rsidRDefault="004E712E" w:rsidP="00A42141">
            <w:pPr>
              <w:pStyle w:val="TableText"/>
              <w:spacing w:after="24"/>
            </w:pPr>
            <w:r>
              <w:t>1</w:t>
            </w:r>
          </w:p>
        </w:tc>
      </w:tr>
      <w:tr w:rsidR="004E712E" w:rsidTr="004E712E">
        <w:trPr>
          <w:cantSplit/>
        </w:trPr>
        <w:tc>
          <w:tcPr>
            <w:tcW w:w="1555" w:type="dxa"/>
            <w:tcBorders>
              <w:bottom w:val="nil"/>
            </w:tcBorders>
          </w:tcPr>
          <w:p w:rsidR="004E712E" w:rsidRDefault="004E712E" w:rsidP="00A42141">
            <w:pPr>
              <w:pStyle w:val="TableText"/>
              <w:spacing w:after="24"/>
            </w:pPr>
            <w:r>
              <w:t>Senior Members</w:t>
            </w:r>
          </w:p>
        </w:tc>
        <w:tc>
          <w:tcPr>
            <w:tcW w:w="1065" w:type="dxa"/>
          </w:tcPr>
          <w:p w:rsidR="004E712E" w:rsidRDefault="004E712E" w:rsidP="00A42141">
            <w:pPr>
              <w:pStyle w:val="TableText"/>
              <w:spacing w:after="24"/>
            </w:pPr>
            <w:r>
              <w:t>Male</w:t>
            </w:r>
          </w:p>
        </w:tc>
        <w:tc>
          <w:tcPr>
            <w:tcW w:w="666" w:type="dxa"/>
            <w:shd w:val="clear" w:color="auto" w:fill="auto"/>
          </w:tcPr>
          <w:p w:rsidR="004E712E" w:rsidRDefault="004E712E" w:rsidP="00A42141">
            <w:pPr>
              <w:pStyle w:val="TableText"/>
              <w:spacing w:after="24"/>
            </w:pPr>
          </w:p>
        </w:tc>
        <w:tc>
          <w:tcPr>
            <w:tcW w:w="666" w:type="dxa"/>
            <w:shd w:val="clear" w:color="auto" w:fill="auto"/>
          </w:tcPr>
          <w:p w:rsidR="004E712E" w:rsidRDefault="004E712E" w:rsidP="00A42141">
            <w:pPr>
              <w:pStyle w:val="TableText"/>
              <w:spacing w:after="24"/>
            </w:pPr>
            <w:r>
              <w:t>1</w:t>
            </w:r>
          </w:p>
        </w:tc>
        <w:tc>
          <w:tcPr>
            <w:tcW w:w="666" w:type="dxa"/>
            <w:shd w:val="clear" w:color="auto" w:fill="auto"/>
          </w:tcPr>
          <w:p w:rsidR="004E712E" w:rsidRDefault="004E712E" w:rsidP="00A42141">
            <w:pPr>
              <w:pStyle w:val="TableText"/>
              <w:spacing w:after="24"/>
            </w:pPr>
            <w:r>
              <w:t>2</w:t>
            </w:r>
          </w:p>
        </w:tc>
        <w:tc>
          <w:tcPr>
            <w:tcW w:w="666" w:type="dxa"/>
            <w:shd w:val="clear" w:color="auto" w:fill="auto"/>
          </w:tcPr>
          <w:p w:rsidR="004E712E" w:rsidRDefault="004E712E" w:rsidP="00A42141">
            <w:pPr>
              <w:pStyle w:val="TableText"/>
              <w:spacing w:after="24"/>
            </w:pPr>
          </w:p>
        </w:tc>
        <w:tc>
          <w:tcPr>
            <w:tcW w:w="666" w:type="dxa"/>
            <w:shd w:val="clear" w:color="auto" w:fill="auto"/>
          </w:tcPr>
          <w:p w:rsidR="004E712E" w:rsidRDefault="004E712E" w:rsidP="00A42141">
            <w:pPr>
              <w:pStyle w:val="TableText"/>
              <w:spacing w:after="24"/>
            </w:pPr>
          </w:p>
        </w:tc>
        <w:tc>
          <w:tcPr>
            <w:tcW w:w="666" w:type="dxa"/>
            <w:shd w:val="clear" w:color="auto" w:fill="auto"/>
          </w:tcPr>
          <w:p w:rsidR="004E712E" w:rsidRDefault="004E712E" w:rsidP="00A42141">
            <w:pPr>
              <w:pStyle w:val="TableText"/>
              <w:spacing w:after="24"/>
            </w:pPr>
            <w:r>
              <w:t>1</w:t>
            </w:r>
          </w:p>
        </w:tc>
        <w:tc>
          <w:tcPr>
            <w:tcW w:w="666" w:type="dxa"/>
          </w:tcPr>
          <w:p w:rsidR="004E712E" w:rsidRDefault="004E712E" w:rsidP="00A42141">
            <w:pPr>
              <w:pStyle w:val="TableText"/>
              <w:spacing w:after="24"/>
            </w:pPr>
          </w:p>
        </w:tc>
        <w:tc>
          <w:tcPr>
            <w:tcW w:w="666" w:type="dxa"/>
          </w:tcPr>
          <w:p w:rsidR="004E712E" w:rsidRDefault="004E712E" w:rsidP="00A42141">
            <w:pPr>
              <w:pStyle w:val="TableText"/>
              <w:spacing w:after="24"/>
            </w:pPr>
            <w:r>
              <w:t>4</w:t>
            </w:r>
          </w:p>
        </w:tc>
      </w:tr>
      <w:tr w:rsidR="004E712E" w:rsidTr="004E712E">
        <w:trPr>
          <w:cantSplit/>
        </w:trPr>
        <w:tc>
          <w:tcPr>
            <w:tcW w:w="1555" w:type="dxa"/>
            <w:tcBorders>
              <w:top w:val="nil"/>
              <w:bottom w:val="nil"/>
            </w:tcBorders>
          </w:tcPr>
          <w:p w:rsidR="004E712E" w:rsidRDefault="004E712E" w:rsidP="00A42141">
            <w:pPr>
              <w:pStyle w:val="TableText"/>
              <w:spacing w:after="24"/>
            </w:pPr>
          </w:p>
        </w:tc>
        <w:tc>
          <w:tcPr>
            <w:tcW w:w="1065" w:type="dxa"/>
          </w:tcPr>
          <w:p w:rsidR="004E712E" w:rsidRDefault="004E712E" w:rsidP="00A42141">
            <w:pPr>
              <w:pStyle w:val="TableText"/>
              <w:spacing w:after="24"/>
            </w:pPr>
            <w:r>
              <w:t>Female</w:t>
            </w:r>
          </w:p>
        </w:tc>
        <w:tc>
          <w:tcPr>
            <w:tcW w:w="666" w:type="dxa"/>
            <w:shd w:val="clear" w:color="auto" w:fill="auto"/>
          </w:tcPr>
          <w:p w:rsidR="004E712E" w:rsidRDefault="004E712E" w:rsidP="00A42141">
            <w:pPr>
              <w:pStyle w:val="TableText"/>
              <w:spacing w:after="24"/>
            </w:pPr>
            <w:r>
              <w:t>1</w:t>
            </w:r>
          </w:p>
        </w:tc>
        <w:tc>
          <w:tcPr>
            <w:tcW w:w="666" w:type="dxa"/>
            <w:shd w:val="clear" w:color="auto" w:fill="auto"/>
          </w:tcPr>
          <w:p w:rsidR="004E712E" w:rsidRDefault="004E712E" w:rsidP="00A42141">
            <w:pPr>
              <w:pStyle w:val="TableText"/>
              <w:spacing w:after="24"/>
            </w:pPr>
            <w:r>
              <w:t>4</w:t>
            </w:r>
          </w:p>
        </w:tc>
        <w:tc>
          <w:tcPr>
            <w:tcW w:w="666" w:type="dxa"/>
            <w:shd w:val="clear" w:color="auto" w:fill="auto"/>
          </w:tcPr>
          <w:p w:rsidR="004E712E" w:rsidRDefault="004E712E" w:rsidP="00A42141">
            <w:pPr>
              <w:pStyle w:val="TableText"/>
              <w:spacing w:after="24"/>
            </w:pPr>
          </w:p>
        </w:tc>
        <w:tc>
          <w:tcPr>
            <w:tcW w:w="666" w:type="dxa"/>
            <w:shd w:val="clear" w:color="auto" w:fill="auto"/>
          </w:tcPr>
          <w:p w:rsidR="004E712E" w:rsidRDefault="004E712E" w:rsidP="00A42141">
            <w:pPr>
              <w:pStyle w:val="TableText"/>
              <w:spacing w:after="24"/>
            </w:pPr>
            <w:r>
              <w:t>2</w:t>
            </w:r>
          </w:p>
        </w:tc>
        <w:tc>
          <w:tcPr>
            <w:tcW w:w="666" w:type="dxa"/>
            <w:shd w:val="clear" w:color="auto" w:fill="auto"/>
          </w:tcPr>
          <w:p w:rsidR="004E712E" w:rsidRDefault="004E712E" w:rsidP="00A42141">
            <w:pPr>
              <w:pStyle w:val="TableText"/>
              <w:spacing w:after="24"/>
            </w:pPr>
          </w:p>
        </w:tc>
        <w:tc>
          <w:tcPr>
            <w:tcW w:w="666" w:type="dxa"/>
            <w:shd w:val="clear" w:color="auto" w:fill="auto"/>
          </w:tcPr>
          <w:p w:rsidR="004E712E" w:rsidRDefault="004E712E" w:rsidP="00A42141">
            <w:pPr>
              <w:pStyle w:val="TableText"/>
              <w:spacing w:after="24"/>
            </w:pPr>
          </w:p>
        </w:tc>
        <w:tc>
          <w:tcPr>
            <w:tcW w:w="666" w:type="dxa"/>
          </w:tcPr>
          <w:p w:rsidR="004E712E" w:rsidRDefault="004E712E" w:rsidP="00A42141">
            <w:pPr>
              <w:pStyle w:val="TableText"/>
              <w:spacing w:after="24"/>
            </w:pPr>
          </w:p>
        </w:tc>
        <w:tc>
          <w:tcPr>
            <w:tcW w:w="666" w:type="dxa"/>
          </w:tcPr>
          <w:p w:rsidR="004E712E" w:rsidRDefault="004E712E" w:rsidP="00A42141">
            <w:pPr>
              <w:pStyle w:val="TableText"/>
              <w:spacing w:after="24"/>
            </w:pPr>
            <w:r>
              <w:t>7</w:t>
            </w:r>
          </w:p>
        </w:tc>
      </w:tr>
      <w:tr w:rsidR="004E712E" w:rsidTr="004E712E">
        <w:trPr>
          <w:cantSplit/>
        </w:trPr>
        <w:tc>
          <w:tcPr>
            <w:tcW w:w="1555" w:type="dxa"/>
            <w:tcBorders>
              <w:top w:val="nil"/>
              <w:bottom w:val="single" w:sz="4" w:space="0" w:color="A39892"/>
            </w:tcBorders>
          </w:tcPr>
          <w:p w:rsidR="004E712E" w:rsidRDefault="004E712E" w:rsidP="00A42141">
            <w:pPr>
              <w:pStyle w:val="TableText"/>
              <w:spacing w:after="24"/>
            </w:pPr>
          </w:p>
        </w:tc>
        <w:tc>
          <w:tcPr>
            <w:tcW w:w="1065" w:type="dxa"/>
            <w:tcBorders>
              <w:bottom w:val="single" w:sz="4" w:space="0" w:color="A39892"/>
            </w:tcBorders>
          </w:tcPr>
          <w:p w:rsidR="004E712E" w:rsidRDefault="004E712E" w:rsidP="00A42141">
            <w:pPr>
              <w:pStyle w:val="TableText"/>
              <w:spacing w:after="24"/>
            </w:pPr>
            <w:r>
              <w:t>Total</w:t>
            </w:r>
          </w:p>
        </w:tc>
        <w:tc>
          <w:tcPr>
            <w:tcW w:w="666" w:type="dxa"/>
            <w:tcBorders>
              <w:bottom w:val="single" w:sz="4" w:space="0" w:color="A39892"/>
            </w:tcBorders>
            <w:shd w:val="clear" w:color="auto" w:fill="auto"/>
          </w:tcPr>
          <w:p w:rsidR="004E712E" w:rsidRDefault="004E712E" w:rsidP="00A42141">
            <w:pPr>
              <w:pStyle w:val="TableText"/>
              <w:spacing w:after="24"/>
            </w:pPr>
            <w:r>
              <w:t>1</w:t>
            </w:r>
          </w:p>
        </w:tc>
        <w:tc>
          <w:tcPr>
            <w:tcW w:w="666" w:type="dxa"/>
            <w:tcBorders>
              <w:bottom w:val="single" w:sz="4" w:space="0" w:color="A39892"/>
            </w:tcBorders>
            <w:shd w:val="clear" w:color="auto" w:fill="auto"/>
          </w:tcPr>
          <w:p w:rsidR="004E712E" w:rsidRDefault="004E712E" w:rsidP="00A42141">
            <w:pPr>
              <w:pStyle w:val="TableText"/>
              <w:spacing w:after="24"/>
            </w:pPr>
            <w:r>
              <w:t>5</w:t>
            </w:r>
          </w:p>
        </w:tc>
        <w:tc>
          <w:tcPr>
            <w:tcW w:w="666" w:type="dxa"/>
            <w:tcBorders>
              <w:bottom w:val="single" w:sz="4" w:space="0" w:color="A39892"/>
            </w:tcBorders>
            <w:shd w:val="clear" w:color="auto" w:fill="auto"/>
          </w:tcPr>
          <w:p w:rsidR="004E712E" w:rsidRDefault="004E712E" w:rsidP="00A42141">
            <w:pPr>
              <w:pStyle w:val="TableText"/>
              <w:spacing w:after="24"/>
            </w:pPr>
            <w:r>
              <w:t>2</w:t>
            </w:r>
          </w:p>
        </w:tc>
        <w:tc>
          <w:tcPr>
            <w:tcW w:w="666" w:type="dxa"/>
            <w:tcBorders>
              <w:bottom w:val="single" w:sz="4" w:space="0" w:color="A39892"/>
            </w:tcBorders>
            <w:shd w:val="clear" w:color="auto" w:fill="auto"/>
          </w:tcPr>
          <w:p w:rsidR="004E712E" w:rsidRDefault="004E712E" w:rsidP="00A42141">
            <w:pPr>
              <w:pStyle w:val="TableText"/>
              <w:spacing w:after="24"/>
            </w:pPr>
            <w:r>
              <w:t>2</w:t>
            </w:r>
          </w:p>
        </w:tc>
        <w:tc>
          <w:tcPr>
            <w:tcW w:w="666" w:type="dxa"/>
            <w:tcBorders>
              <w:bottom w:val="single" w:sz="4" w:space="0" w:color="A39892"/>
            </w:tcBorders>
            <w:shd w:val="clear" w:color="auto" w:fill="auto"/>
          </w:tcPr>
          <w:p w:rsidR="004E712E" w:rsidRDefault="004E712E" w:rsidP="00A42141">
            <w:pPr>
              <w:pStyle w:val="TableText"/>
              <w:spacing w:after="24"/>
            </w:pPr>
          </w:p>
        </w:tc>
        <w:tc>
          <w:tcPr>
            <w:tcW w:w="666" w:type="dxa"/>
            <w:tcBorders>
              <w:bottom w:val="single" w:sz="4" w:space="0" w:color="A39892"/>
            </w:tcBorders>
            <w:shd w:val="clear" w:color="auto" w:fill="auto"/>
          </w:tcPr>
          <w:p w:rsidR="004E712E" w:rsidRDefault="004E712E" w:rsidP="00A42141">
            <w:pPr>
              <w:pStyle w:val="TableText"/>
              <w:spacing w:after="24"/>
            </w:pPr>
            <w:r>
              <w:t>1</w:t>
            </w:r>
          </w:p>
        </w:tc>
        <w:tc>
          <w:tcPr>
            <w:tcW w:w="666" w:type="dxa"/>
            <w:tcBorders>
              <w:bottom w:val="single" w:sz="4" w:space="0" w:color="A39892"/>
            </w:tcBorders>
          </w:tcPr>
          <w:p w:rsidR="004E712E" w:rsidRDefault="004E712E" w:rsidP="00A42141">
            <w:pPr>
              <w:pStyle w:val="TableText"/>
              <w:spacing w:after="24"/>
            </w:pPr>
          </w:p>
        </w:tc>
        <w:tc>
          <w:tcPr>
            <w:tcW w:w="666" w:type="dxa"/>
            <w:tcBorders>
              <w:bottom w:val="single" w:sz="4" w:space="0" w:color="A39892"/>
            </w:tcBorders>
          </w:tcPr>
          <w:p w:rsidR="004E712E" w:rsidRDefault="004E712E" w:rsidP="00A42141">
            <w:pPr>
              <w:pStyle w:val="TableText"/>
              <w:spacing w:after="24"/>
            </w:pPr>
            <w:r>
              <w:t>11</w:t>
            </w:r>
          </w:p>
        </w:tc>
      </w:tr>
      <w:tr w:rsidR="004E712E" w:rsidTr="004E71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555" w:type="dxa"/>
            <w:tcBorders>
              <w:top w:val="single" w:sz="4" w:space="0" w:color="A39892"/>
              <w:left w:val="single" w:sz="4" w:space="0" w:color="A39892"/>
              <w:bottom w:val="nil"/>
              <w:right w:val="single" w:sz="4" w:space="0" w:color="A39892"/>
            </w:tcBorders>
          </w:tcPr>
          <w:p w:rsidR="004E712E" w:rsidRDefault="004E712E" w:rsidP="00A42141">
            <w:pPr>
              <w:pStyle w:val="TableText"/>
              <w:spacing w:after="24"/>
            </w:pPr>
            <w:r>
              <w:t>Services Members</w:t>
            </w:r>
          </w:p>
        </w:tc>
        <w:tc>
          <w:tcPr>
            <w:tcW w:w="1065"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Male</w:t>
            </w: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1</w:t>
            </w: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4</w:t>
            </w: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1</w:t>
            </w: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5</w:t>
            </w: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11</w:t>
            </w:r>
          </w:p>
        </w:tc>
      </w:tr>
      <w:tr w:rsidR="004E712E" w:rsidTr="004E71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555" w:type="dxa"/>
            <w:tcBorders>
              <w:top w:val="nil"/>
              <w:left w:val="single" w:sz="4" w:space="0" w:color="A39892"/>
              <w:bottom w:val="nil"/>
              <w:right w:val="single" w:sz="4" w:space="0" w:color="A39892"/>
            </w:tcBorders>
          </w:tcPr>
          <w:p w:rsidR="004E712E" w:rsidRDefault="004E712E" w:rsidP="00A42141">
            <w:pPr>
              <w:pStyle w:val="TableText"/>
              <w:spacing w:after="24"/>
            </w:pPr>
          </w:p>
        </w:tc>
        <w:tc>
          <w:tcPr>
            <w:tcW w:w="1065"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Female</w:t>
            </w: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1</w:t>
            </w: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1</w:t>
            </w: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2</w:t>
            </w:r>
          </w:p>
        </w:tc>
      </w:tr>
      <w:tr w:rsidR="004E712E" w:rsidTr="004E71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555" w:type="dxa"/>
            <w:tcBorders>
              <w:top w:val="nil"/>
              <w:left w:val="single" w:sz="4" w:space="0" w:color="A39892"/>
              <w:bottom w:val="single" w:sz="4" w:space="0" w:color="A39892"/>
              <w:right w:val="single" w:sz="4" w:space="0" w:color="A39892"/>
            </w:tcBorders>
          </w:tcPr>
          <w:p w:rsidR="004E712E" w:rsidRDefault="004E712E" w:rsidP="00A42141">
            <w:pPr>
              <w:pStyle w:val="TableText"/>
              <w:spacing w:after="24"/>
            </w:pPr>
          </w:p>
        </w:tc>
        <w:tc>
          <w:tcPr>
            <w:tcW w:w="1065"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Total</w:t>
            </w: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1</w:t>
            </w: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5</w:t>
            </w: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1</w:t>
            </w: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5</w:t>
            </w: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1</w:t>
            </w: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13</w:t>
            </w:r>
          </w:p>
        </w:tc>
      </w:tr>
      <w:tr w:rsidR="004E712E" w:rsidTr="004E71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555" w:type="dxa"/>
            <w:tcBorders>
              <w:top w:val="single" w:sz="4" w:space="0" w:color="A39892"/>
              <w:left w:val="single" w:sz="4" w:space="0" w:color="A39892"/>
              <w:bottom w:val="nil"/>
              <w:right w:val="single" w:sz="4" w:space="0" w:color="A39892"/>
            </w:tcBorders>
          </w:tcPr>
          <w:p w:rsidR="004E712E" w:rsidRDefault="004E712E" w:rsidP="00A42141">
            <w:pPr>
              <w:pStyle w:val="TableText"/>
              <w:spacing w:after="24"/>
            </w:pPr>
            <w:r>
              <w:t>Members</w:t>
            </w:r>
          </w:p>
        </w:tc>
        <w:tc>
          <w:tcPr>
            <w:tcW w:w="1065"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Male</w:t>
            </w: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3</w:t>
            </w: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1</w:t>
            </w: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1</w:t>
            </w: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5</w:t>
            </w:r>
          </w:p>
        </w:tc>
      </w:tr>
      <w:tr w:rsidR="004E712E" w:rsidTr="004E71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555" w:type="dxa"/>
            <w:tcBorders>
              <w:top w:val="nil"/>
              <w:left w:val="single" w:sz="4" w:space="0" w:color="A39892"/>
              <w:bottom w:val="nil"/>
              <w:right w:val="single" w:sz="4" w:space="0" w:color="A39892"/>
            </w:tcBorders>
          </w:tcPr>
          <w:p w:rsidR="004E712E" w:rsidRDefault="004E712E" w:rsidP="00A42141">
            <w:pPr>
              <w:pStyle w:val="TableText"/>
              <w:spacing w:after="24"/>
            </w:pPr>
          </w:p>
        </w:tc>
        <w:tc>
          <w:tcPr>
            <w:tcW w:w="1065"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Female</w:t>
            </w: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1</w:t>
            </w: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2</w:t>
            </w: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1</w:t>
            </w: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4</w:t>
            </w:r>
          </w:p>
        </w:tc>
      </w:tr>
      <w:tr w:rsidR="004E712E" w:rsidTr="004E71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555" w:type="dxa"/>
            <w:tcBorders>
              <w:top w:val="nil"/>
              <w:left w:val="single" w:sz="4" w:space="0" w:color="A39892"/>
              <w:bottom w:val="single" w:sz="4" w:space="0" w:color="A39892"/>
              <w:right w:val="single" w:sz="4" w:space="0" w:color="A39892"/>
            </w:tcBorders>
          </w:tcPr>
          <w:p w:rsidR="004E712E" w:rsidRDefault="004E712E" w:rsidP="00A42141">
            <w:pPr>
              <w:pStyle w:val="TableText"/>
              <w:spacing w:after="24"/>
            </w:pPr>
          </w:p>
        </w:tc>
        <w:tc>
          <w:tcPr>
            <w:tcW w:w="1065"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Total</w:t>
            </w: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1</w:t>
            </w: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3</w:t>
            </w: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2</w:t>
            </w: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1</w:t>
            </w: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1</w:t>
            </w: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1</w:t>
            </w: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9</w:t>
            </w:r>
          </w:p>
        </w:tc>
      </w:tr>
      <w:tr w:rsidR="004E712E" w:rsidTr="004E71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555" w:type="dxa"/>
            <w:tcBorders>
              <w:top w:val="single" w:sz="4" w:space="0" w:color="A39892"/>
              <w:left w:val="single" w:sz="4" w:space="0" w:color="A39892"/>
              <w:bottom w:val="nil"/>
              <w:right w:val="single" w:sz="4" w:space="0" w:color="A39892"/>
            </w:tcBorders>
          </w:tcPr>
          <w:p w:rsidR="004E712E" w:rsidRDefault="004E712E" w:rsidP="00A42141">
            <w:pPr>
              <w:pStyle w:val="TableText"/>
              <w:spacing w:after="24"/>
            </w:pPr>
            <w:r>
              <w:t>All members</w:t>
            </w:r>
          </w:p>
        </w:tc>
        <w:tc>
          <w:tcPr>
            <w:tcW w:w="1065"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Male</w:t>
            </w: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1</w:t>
            </w: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8</w:t>
            </w: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3</w:t>
            </w: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5</w:t>
            </w: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2</w:t>
            </w: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19</w:t>
            </w:r>
          </w:p>
        </w:tc>
      </w:tr>
      <w:tr w:rsidR="004E712E" w:rsidTr="004E71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555" w:type="dxa"/>
            <w:tcBorders>
              <w:top w:val="nil"/>
              <w:left w:val="single" w:sz="4" w:space="0" w:color="A39892"/>
              <w:bottom w:val="nil"/>
              <w:right w:val="single" w:sz="4" w:space="0" w:color="A39892"/>
            </w:tcBorders>
          </w:tcPr>
          <w:p w:rsidR="004E712E" w:rsidRDefault="004E712E" w:rsidP="00A42141">
            <w:pPr>
              <w:pStyle w:val="TableText"/>
              <w:spacing w:after="24"/>
            </w:pPr>
          </w:p>
        </w:tc>
        <w:tc>
          <w:tcPr>
            <w:tcW w:w="1065"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Female</w:t>
            </w: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2</w:t>
            </w: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6</w:t>
            </w: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2</w:t>
            </w: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2</w:t>
            </w: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1</w:t>
            </w: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1</w:t>
            </w: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14</w:t>
            </w:r>
          </w:p>
        </w:tc>
      </w:tr>
      <w:tr w:rsidR="004E712E" w:rsidTr="004E71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555" w:type="dxa"/>
            <w:tcBorders>
              <w:top w:val="nil"/>
              <w:left w:val="single" w:sz="4" w:space="0" w:color="A39892"/>
              <w:bottom w:val="single" w:sz="4" w:space="0" w:color="A39892"/>
              <w:right w:val="single" w:sz="4" w:space="0" w:color="A39892"/>
            </w:tcBorders>
          </w:tcPr>
          <w:p w:rsidR="004E712E" w:rsidRDefault="004E712E" w:rsidP="00A42141">
            <w:pPr>
              <w:pStyle w:val="TableText"/>
              <w:spacing w:after="24"/>
            </w:pPr>
          </w:p>
        </w:tc>
        <w:tc>
          <w:tcPr>
            <w:tcW w:w="1065"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Total</w:t>
            </w: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3</w:t>
            </w: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14</w:t>
            </w: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5</w:t>
            </w: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8</w:t>
            </w: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3</w:t>
            </w: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1</w:t>
            </w:r>
          </w:p>
        </w:tc>
        <w:tc>
          <w:tcPr>
            <w:tcW w:w="666" w:type="dxa"/>
            <w:tcBorders>
              <w:top w:val="single" w:sz="4" w:space="0" w:color="A39892"/>
              <w:left w:val="single" w:sz="4" w:space="0" w:color="A39892"/>
              <w:bottom w:val="single" w:sz="4" w:space="0" w:color="A39892"/>
              <w:right w:val="single" w:sz="4" w:space="0" w:color="A39892"/>
            </w:tcBorders>
          </w:tcPr>
          <w:p w:rsidR="004E712E" w:rsidRDefault="004E712E" w:rsidP="00A42141">
            <w:pPr>
              <w:pStyle w:val="TableText"/>
              <w:spacing w:after="24"/>
            </w:pPr>
            <w:r>
              <w:t>34</w:t>
            </w:r>
          </w:p>
        </w:tc>
      </w:tr>
    </w:tbl>
    <w:p w:rsidR="006A417F" w:rsidRDefault="006A417F" w:rsidP="006A417F"/>
    <w:p w:rsidR="009E5C4D" w:rsidRDefault="009E5C4D" w:rsidP="009E5C4D">
      <w:pPr>
        <w:pStyle w:val="FigureName"/>
      </w:pPr>
      <w:r w:rsidRPr="009E5C4D">
        <w:t>Graph 5.4: Distribution of members by state, 30 June 2018</w:t>
      </w:r>
    </w:p>
    <w:p w:rsidR="009E5C4D" w:rsidRDefault="002C66A3" w:rsidP="002C66A3">
      <w:pPr>
        <w:pStyle w:val="FigurePara"/>
        <w:jc w:val="center"/>
      </w:pPr>
      <w:r>
        <w:rPr>
          <w:noProof/>
          <w:lang w:eastAsia="en-AU"/>
        </w:rPr>
        <w:drawing>
          <wp:inline distT="0" distB="0" distL="0" distR="0" wp14:anchorId="78792604" wp14:editId="5AB472D2">
            <wp:extent cx="2723515" cy="2614295"/>
            <wp:effectExtent l="0" t="0" r="635" b="0"/>
            <wp:docPr id="47" name="Picture 47" descr="In percentage terms the distribution of members was that 41.2% of members were based in NSW, 23.5% in QLD, 14.7% in VIC, 8.8% in the ACT, 8.8% in WA and 2.9% in TAS. In terms of distribution by type the Principal Member represented 2.9% of the membership, Senior Members were 32.4%, Services Members were 38.2% and Members were 26.5%. The distribution by gender was that 44.1% of the membership was female and 55.9%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DP Plus\Docs\DVA\Veterans' Review Board\Annual Report 2017-18\sourcedocs\Graph 5.4.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23515" cy="2614295"/>
                    </a:xfrm>
                    <a:prstGeom prst="rect">
                      <a:avLst/>
                    </a:prstGeom>
                    <a:noFill/>
                    <a:ln>
                      <a:noFill/>
                    </a:ln>
                  </pic:spPr>
                </pic:pic>
              </a:graphicData>
            </a:graphic>
          </wp:inline>
        </w:drawing>
      </w:r>
    </w:p>
    <w:p w:rsidR="009E5C4D" w:rsidRDefault="009E5C4D" w:rsidP="009E5C4D">
      <w:pPr>
        <w:pStyle w:val="FigureName"/>
      </w:pPr>
      <w:r w:rsidRPr="009E5C4D">
        <w:lastRenderedPageBreak/>
        <w:t>Graph 5.5: Distribution of members by type, 30 June 2018</w:t>
      </w:r>
    </w:p>
    <w:p w:rsidR="009E5C4D" w:rsidRDefault="002C66A3" w:rsidP="002C66A3">
      <w:pPr>
        <w:pStyle w:val="FigurePara"/>
        <w:jc w:val="center"/>
      </w:pPr>
      <w:r>
        <w:rPr>
          <w:noProof/>
          <w:lang w:eastAsia="en-AU"/>
        </w:rPr>
        <w:drawing>
          <wp:inline distT="0" distB="0" distL="0" distR="0" wp14:anchorId="57A5B66F" wp14:editId="0B54997E">
            <wp:extent cx="3051175" cy="2494915"/>
            <wp:effectExtent l="0" t="0" r="0" b="635"/>
            <wp:docPr id="48" name="Picture 48" descr="Graph 5.5: Distribution of members by type, 30 Jun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DP Plus\Docs\DVA\Veterans' Review Board\Annual Report 2017-18\sourcedocs\Graph 5.5.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51175" cy="2494915"/>
                    </a:xfrm>
                    <a:prstGeom prst="rect">
                      <a:avLst/>
                    </a:prstGeom>
                    <a:noFill/>
                    <a:ln>
                      <a:noFill/>
                    </a:ln>
                  </pic:spPr>
                </pic:pic>
              </a:graphicData>
            </a:graphic>
          </wp:inline>
        </w:drawing>
      </w:r>
    </w:p>
    <w:p w:rsidR="009E5C4D" w:rsidRDefault="009E5C4D" w:rsidP="009E5C4D">
      <w:pPr>
        <w:pStyle w:val="FigureName"/>
      </w:pPr>
      <w:r w:rsidRPr="009E5C4D">
        <w:t>Graph 5.6: Distribution of members by gender, 30 June 2018</w:t>
      </w:r>
    </w:p>
    <w:p w:rsidR="009E5C4D" w:rsidRDefault="002C66A3" w:rsidP="002C66A3">
      <w:pPr>
        <w:pStyle w:val="FigurePara"/>
        <w:jc w:val="center"/>
      </w:pPr>
      <w:r>
        <w:br/>
      </w:r>
      <w:r>
        <w:rPr>
          <w:noProof/>
          <w:lang w:eastAsia="en-AU"/>
        </w:rPr>
        <w:drawing>
          <wp:inline distT="0" distB="0" distL="0" distR="0" wp14:anchorId="47913018" wp14:editId="27EEE0D6">
            <wp:extent cx="2584450" cy="1640205"/>
            <wp:effectExtent l="0" t="0" r="6350" b="0"/>
            <wp:docPr id="49" name="Picture 49" descr="Graph 5.6: Distribution of members by gender, 30 Jun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DP Plus\Docs\DVA\Veterans' Review Board\Annual Report 2017-18\sourcedocs\Graph 5.6.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84450" cy="1640205"/>
                    </a:xfrm>
                    <a:prstGeom prst="rect">
                      <a:avLst/>
                    </a:prstGeom>
                    <a:noFill/>
                    <a:ln>
                      <a:noFill/>
                    </a:ln>
                  </pic:spPr>
                </pic:pic>
              </a:graphicData>
            </a:graphic>
          </wp:inline>
        </w:drawing>
      </w:r>
      <w:r>
        <w:br/>
      </w:r>
    </w:p>
    <w:bookmarkEnd w:id="27"/>
    <w:p w:rsidR="009E5C4D" w:rsidRDefault="009E5C4D" w:rsidP="009E5C4D">
      <w:pPr>
        <w:pStyle w:val="Heading3"/>
      </w:pPr>
      <w:r>
        <w:lastRenderedPageBreak/>
        <w:t>Ethical standards</w:t>
      </w:r>
    </w:p>
    <w:p w:rsidR="009E5C4D" w:rsidRDefault="009E5C4D" w:rsidP="002C66A3">
      <w:pPr>
        <w:keepNext/>
      </w:pPr>
      <w:r>
        <w:t>The VRB is committed to maintaining the highest ethical standards. Its core values are embedded</w:t>
      </w:r>
      <w:r w:rsidR="002C66A3">
        <w:t xml:space="preserve"> </w:t>
      </w:r>
      <w:r>
        <w:t>in its Service Charter and underpin its operations.</w:t>
      </w:r>
    </w:p>
    <w:p w:rsidR="009E5C4D" w:rsidRDefault="009E5C4D" w:rsidP="002C66A3">
      <w:pPr>
        <w:keepNext/>
      </w:pPr>
      <w:r>
        <w:t>The VRB is committed to maintaining a culture of trust and integrity among our senior staff and</w:t>
      </w:r>
      <w:r w:rsidR="002C66A3">
        <w:t xml:space="preserve"> </w:t>
      </w:r>
      <w:r>
        <w:t>in our decision-making processes. VRB staff attend leadership and development programs</w:t>
      </w:r>
      <w:r w:rsidR="002C66A3">
        <w:t xml:space="preserve"> </w:t>
      </w:r>
      <w:r>
        <w:t>facilitated by DVA, and all provide segments or modules focusing on ethics and integrity, including</w:t>
      </w:r>
      <w:r w:rsidR="002C66A3">
        <w:t xml:space="preserve"> </w:t>
      </w:r>
      <w:r>
        <w:t>ethical decision making.</w:t>
      </w:r>
    </w:p>
    <w:p w:rsidR="009E5C4D" w:rsidRDefault="009E5C4D" w:rsidP="002C66A3">
      <w:pPr>
        <w:keepNext/>
      </w:pPr>
      <w:r>
        <w:t>In terms of VRB Members, they are required to act in accordance with the Administrative Review</w:t>
      </w:r>
      <w:r w:rsidR="002C66A3">
        <w:t xml:space="preserve"> </w:t>
      </w:r>
      <w:r>
        <w:t>Council’s Standards of Conduct for Tribunal Members, the Australian Public Service (APS) Values,</w:t>
      </w:r>
      <w:r w:rsidR="002C66A3">
        <w:t xml:space="preserve"> </w:t>
      </w:r>
      <w:r>
        <w:t>the APS Code of Conduct and the Board’s Service Charter.</w:t>
      </w:r>
    </w:p>
    <w:p w:rsidR="009E5C4D" w:rsidRDefault="009E5C4D" w:rsidP="009E5C4D">
      <w:pPr>
        <w:pStyle w:val="Heading3"/>
      </w:pPr>
      <w:r>
        <w:t>Australian Public Service Values and Code of Conduct</w:t>
      </w:r>
    </w:p>
    <w:p w:rsidR="009E5C4D" w:rsidRDefault="009E5C4D" w:rsidP="009E5C4D">
      <w:r>
        <w:t>All VRB staff are bound by the Australian Public Service Values and Code of Conduct. All staff</w:t>
      </w:r>
      <w:r w:rsidR="002C66A3">
        <w:t xml:space="preserve"> </w:t>
      </w:r>
      <w:r>
        <w:t>are encouraged to incorporate these values into their own workplace ethic. References to the</w:t>
      </w:r>
      <w:r w:rsidR="002C66A3">
        <w:t xml:space="preserve"> </w:t>
      </w:r>
      <w:r>
        <w:t>Australian Public Service Values and Code of Conduct are also incorporated into core staff</w:t>
      </w:r>
      <w:r w:rsidR="002C66A3">
        <w:t xml:space="preserve"> </w:t>
      </w:r>
      <w:r>
        <w:t>training.</w:t>
      </w:r>
    </w:p>
    <w:p w:rsidR="009E5C4D" w:rsidRDefault="009E5C4D" w:rsidP="009E5C4D">
      <w:pPr>
        <w:pStyle w:val="Heading3"/>
      </w:pPr>
      <w:r>
        <w:t>Professional Standards for Tribunal Members</w:t>
      </w:r>
    </w:p>
    <w:p w:rsidR="009E5C4D" w:rsidRDefault="009E5C4D" w:rsidP="009E5C4D">
      <w:r>
        <w:t>In addition to comprehensive guidance given to members in the VRB’s Members Handbook,</w:t>
      </w:r>
      <w:r w:rsidR="002C66A3">
        <w:t xml:space="preserve"> </w:t>
      </w:r>
      <w:r>
        <w:t xml:space="preserve">members are guided by the Administrative Review Council’s publication, </w:t>
      </w:r>
      <w:r w:rsidRPr="002C66A3">
        <w:rPr>
          <w:i/>
        </w:rPr>
        <w:t>A Guide to Standards</w:t>
      </w:r>
      <w:r w:rsidR="002C66A3" w:rsidRPr="002C66A3">
        <w:rPr>
          <w:i/>
        </w:rPr>
        <w:t xml:space="preserve"> </w:t>
      </w:r>
      <w:r w:rsidRPr="002C66A3">
        <w:rPr>
          <w:i/>
        </w:rPr>
        <w:t>of Conduct for Tribunal Members</w:t>
      </w:r>
      <w:r>
        <w:t>. This document establishes principles of conduct relating to</w:t>
      </w:r>
      <w:r w:rsidR="002C66A3">
        <w:t xml:space="preserve"> </w:t>
      </w:r>
      <w:r>
        <w:t>fairness, integrity, accountability and transparency, among others. The Guide is brought to the</w:t>
      </w:r>
      <w:r w:rsidR="002C66A3">
        <w:t xml:space="preserve"> </w:t>
      </w:r>
      <w:r>
        <w:t>attention of all VRB members during induction activities and the principles referred to in ongoing</w:t>
      </w:r>
      <w:r w:rsidR="002C66A3">
        <w:t xml:space="preserve"> </w:t>
      </w:r>
      <w:r>
        <w:t>member training. It also forms part of the members competency framework; against which</w:t>
      </w:r>
      <w:r w:rsidR="002C66A3">
        <w:t xml:space="preserve"> </w:t>
      </w:r>
      <w:r>
        <w:t>members are appraised twice yearly. To ensure that ethical standards are upheld, members, as</w:t>
      </w:r>
      <w:r w:rsidR="002C66A3">
        <w:t xml:space="preserve"> </w:t>
      </w:r>
      <w:r>
        <w:t>statutory office holders, are required to complete a private interests declaration form.</w:t>
      </w:r>
    </w:p>
    <w:p w:rsidR="009E5C4D" w:rsidRDefault="009E5C4D" w:rsidP="009E5C4D">
      <w:pPr>
        <w:pStyle w:val="Heading3"/>
      </w:pPr>
      <w:r>
        <w:t>Ecologically Sustainable Development and Environmental Performance</w:t>
      </w:r>
    </w:p>
    <w:p w:rsidR="009E5C4D" w:rsidRDefault="009E5C4D" w:rsidP="009E5C4D">
      <w:r>
        <w:t>The VRB remains committed to minimising the impact of its workplaces on the environment and</w:t>
      </w:r>
      <w:r w:rsidR="002C66A3">
        <w:t xml:space="preserve"> </w:t>
      </w:r>
      <w:r>
        <w:t>promoting environmentally supportive work practices. The VRB continues to increase purchases</w:t>
      </w:r>
      <w:r w:rsidR="002C66A3">
        <w:t xml:space="preserve"> </w:t>
      </w:r>
      <w:r>
        <w:t>of ‘green’ energy, recycle waste paper and materials and to implement measures to reduce</w:t>
      </w:r>
      <w:r w:rsidR="002C66A3">
        <w:t xml:space="preserve"> </w:t>
      </w:r>
      <w:r>
        <w:t>the amount of energy and resources used. The VRB also ensures it is compliant with relevant</w:t>
      </w:r>
      <w:r w:rsidR="002C66A3">
        <w:t xml:space="preserve"> </w:t>
      </w:r>
      <w:r>
        <w:t>environment regulations and that suppliers are aware of our environmental commitments and</w:t>
      </w:r>
      <w:r w:rsidR="002C66A3">
        <w:t xml:space="preserve"> </w:t>
      </w:r>
      <w:r>
        <w:t>arrangements. The VRB will continue to improve its awareness of environmental issues and</w:t>
      </w:r>
      <w:r w:rsidR="002C66A3">
        <w:t xml:space="preserve"> </w:t>
      </w:r>
      <w:r>
        <w:t>promote awareness in its business practices in all its registries.</w:t>
      </w:r>
    </w:p>
    <w:p w:rsidR="009E5C4D" w:rsidRDefault="009E5C4D" w:rsidP="009E5C4D">
      <w:r>
        <w:t>DVA monitors and reports on energy consumption in the buildings occupied by the VRB, and</w:t>
      </w:r>
      <w:r w:rsidR="002C66A3">
        <w:t xml:space="preserve"> </w:t>
      </w:r>
      <w:r>
        <w:t>information regarding this is included in Annual Report of the DVA.</w:t>
      </w:r>
    </w:p>
    <w:p w:rsidR="009E5C4D" w:rsidRDefault="009E5C4D" w:rsidP="009E5C4D">
      <w:pPr>
        <w:pStyle w:val="Heading3"/>
      </w:pPr>
      <w:r>
        <w:t>Senior Management</w:t>
      </w:r>
    </w:p>
    <w:p w:rsidR="009E5C4D" w:rsidRDefault="009E5C4D" w:rsidP="009E5C4D">
      <w:r>
        <w:t>Ms Jane Anderson is the Principal Member of the Board. She has been appointed for a five year</w:t>
      </w:r>
      <w:r w:rsidR="002C66A3">
        <w:t xml:space="preserve"> </w:t>
      </w:r>
      <w:r>
        <w:t>term commencing on 31 January 2018. The Principal Member is appointed by the Governor-General and is responsible for the national management of the VRB.</w:t>
      </w:r>
    </w:p>
    <w:p w:rsidR="006A3528" w:rsidRDefault="009E5C4D" w:rsidP="009E5C4D">
      <w:r>
        <w:lastRenderedPageBreak/>
        <w:t>Senior Members of the Board provide leadership and support for Members and Services</w:t>
      </w:r>
      <w:r w:rsidR="006A3528">
        <w:t xml:space="preserve"> </w:t>
      </w:r>
      <w:r>
        <w:t>Members, by way of mentoring and training, as well as informally. Up until 30 June 2018, the</w:t>
      </w:r>
      <w:r w:rsidR="006A3528">
        <w:t xml:space="preserve"> </w:t>
      </w:r>
      <w:r>
        <w:t>Senior Members were June McPhie, Les Young, Hilary Kramer, Jenny D’Arcy, Jillian Moir,</w:t>
      </w:r>
      <w:r w:rsidR="006A3528">
        <w:t xml:space="preserve"> </w:t>
      </w:r>
      <w:r>
        <w:t>Christopher Wray, Robert Douglass, Alison Colvin, Tammy Williams and Gary Barrow.</w:t>
      </w:r>
    </w:p>
    <w:p w:rsidR="009E5C4D" w:rsidRDefault="009E5C4D" w:rsidP="009E5C4D">
      <w:r>
        <w:t>The National Registrar</w:t>
      </w:r>
      <w:r w:rsidR="0018474C">
        <w:fldChar w:fldCharType="begin"/>
      </w:r>
      <w:r w:rsidR="0018474C">
        <w:instrText xml:space="preserve"> XE "</w:instrText>
      </w:r>
      <w:r w:rsidR="0018474C" w:rsidRPr="003924C2">
        <w:instrText>National Registrar</w:instrText>
      </w:r>
      <w:r w:rsidR="0018474C">
        <w:instrText xml:space="preserve">" </w:instrText>
      </w:r>
      <w:r w:rsidR="0018474C">
        <w:fldChar w:fldCharType="end"/>
      </w:r>
      <w:r>
        <w:t xml:space="preserve"> directs the operations of the VRB at a national level and coordinates the</w:t>
      </w:r>
      <w:r w:rsidR="006A3528">
        <w:t xml:space="preserve"> </w:t>
      </w:r>
      <w:r>
        <w:t>activities of the state registries. The State Registrars</w:t>
      </w:r>
      <w:r w:rsidR="001D1DCA">
        <w:fldChar w:fldCharType="begin"/>
      </w:r>
      <w:r w:rsidR="001D1DCA">
        <w:instrText xml:space="preserve"> XE "</w:instrText>
      </w:r>
      <w:r w:rsidR="001D1DCA" w:rsidRPr="002D7689">
        <w:instrText>Registrars</w:instrText>
      </w:r>
      <w:r w:rsidR="001D1DCA">
        <w:instrText xml:space="preserve">" </w:instrText>
      </w:r>
      <w:r w:rsidR="001D1DCA">
        <w:fldChar w:fldCharType="end"/>
      </w:r>
      <w:r>
        <w:t xml:space="preserve"> are responsible for the administration and</w:t>
      </w:r>
      <w:r w:rsidR="006A3528">
        <w:t xml:space="preserve"> </w:t>
      </w:r>
      <w:r>
        <w:t>operation of their respective registries. All State Registrars report to the National Registrar.</w:t>
      </w:r>
    </w:p>
    <w:p w:rsidR="009E5C4D" w:rsidRDefault="009E5C4D" w:rsidP="009E5C4D">
      <w:pPr>
        <w:pStyle w:val="Heading3"/>
      </w:pPr>
      <w:r>
        <w:t>Risk Management</w:t>
      </w:r>
      <w:r w:rsidR="0005789C">
        <w:fldChar w:fldCharType="begin"/>
      </w:r>
      <w:r w:rsidR="0005789C">
        <w:instrText xml:space="preserve"> XE "</w:instrText>
      </w:r>
      <w:r w:rsidR="0005789C" w:rsidRPr="002D7689">
        <w:instrText>risk management</w:instrText>
      </w:r>
      <w:r w:rsidR="0005789C">
        <w:instrText xml:space="preserve">" </w:instrText>
      </w:r>
      <w:r w:rsidR="0005789C">
        <w:fldChar w:fldCharType="end"/>
      </w:r>
    </w:p>
    <w:p w:rsidR="009E5C4D" w:rsidRDefault="009E5C4D" w:rsidP="009E5C4D">
      <w:r>
        <w:t>The Risk Management Framework ensures that all identified risks relevant to the VRB are</w:t>
      </w:r>
      <w:r w:rsidR="006A3528">
        <w:t xml:space="preserve"> </w:t>
      </w:r>
      <w:r>
        <w:t>considered and that a systematic approach to risk mitigation is followed. The approach adopted</w:t>
      </w:r>
      <w:r w:rsidR="006A3528">
        <w:t xml:space="preserve"> </w:t>
      </w:r>
      <w:r>
        <w:t>by the VRB is consistent with the Australian Risk Management Standard (AS/NZS 4360) and</w:t>
      </w:r>
      <w:r w:rsidR="006A3528">
        <w:t xml:space="preserve"> </w:t>
      </w:r>
      <w:r>
        <w:t>considers the following risk areas:</w:t>
      </w:r>
    </w:p>
    <w:p w:rsidR="009E5C4D" w:rsidRDefault="009E5C4D" w:rsidP="006A3528">
      <w:pPr>
        <w:pStyle w:val="Bullet"/>
      </w:pPr>
      <w:r>
        <w:t>maintaining a safe work environment for staff, members, clients and visitors</w:t>
      </w:r>
    </w:p>
    <w:p w:rsidR="009E5C4D" w:rsidRDefault="009E5C4D" w:rsidP="006A3528">
      <w:pPr>
        <w:pStyle w:val="Bullet"/>
      </w:pPr>
      <w:r>
        <w:t>safeguarding and maintaining assets</w:t>
      </w:r>
    </w:p>
    <w:p w:rsidR="009E5C4D" w:rsidRDefault="009E5C4D" w:rsidP="006A3528">
      <w:pPr>
        <w:pStyle w:val="Bullet"/>
      </w:pPr>
      <w:r>
        <w:t>managing human resources</w:t>
      </w:r>
    </w:p>
    <w:p w:rsidR="009E5C4D" w:rsidRDefault="009E5C4D" w:rsidP="006A3528">
      <w:pPr>
        <w:pStyle w:val="Bullet"/>
      </w:pPr>
      <w:r>
        <w:t>managing technology and information resources</w:t>
      </w:r>
    </w:p>
    <w:p w:rsidR="009E5C4D" w:rsidRDefault="009E5C4D" w:rsidP="006A3528">
      <w:pPr>
        <w:pStyle w:val="Bullet"/>
      </w:pPr>
      <w:r>
        <w:t>ensuring compliance with environmental obligations</w:t>
      </w:r>
    </w:p>
    <w:p w:rsidR="009E5C4D" w:rsidRDefault="009E5C4D" w:rsidP="006A3528">
      <w:pPr>
        <w:pStyle w:val="Bullet"/>
      </w:pPr>
      <w:r>
        <w:t>achieving established objectives and goal</w:t>
      </w:r>
    </w:p>
    <w:p w:rsidR="009E5C4D" w:rsidRDefault="009E5C4D" w:rsidP="006A3528">
      <w:pPr>
        <w:pStyle w:val="Bullet"/>
      </w:pPr>
      <w:r>
        <w:t>ensuring the reliability and integrity of financial and operational information</w:t>
      </w:r>
    </w:p>
    <w:p w:rsidR="009E5C4D" w:rsidRDefault="009E5C4D" w:rsidP="006A3528">
      <w:pPr>
        <w:pStyle w:val="Bullet"/>
      </w:pPr>
      <w:r>
        <w:t>complying with internal policies and procedures</w:t>
      </w:r>
      <w:r w:rsidR="001D1DCA">
        <w:fldChar w:fldCharType="begin"/>
      </w:r>
      <w:r w:rsidR="001D1DCA">
        <w:instrText xml:space="preserve"> XE "</w:instrText>
      </w:r>
      <w:r w:rsidR="001D1DCA" w:rsidRPr="002D7689">
        <w:instrText>procedures</w:instrText>
      </w:r>
      <w:r w:rsidR="001D1DCA">
        <w:instrText xml:space="preserve">" </w:instrText>
      </w:r>
      <w:r w:rsidR="001D1DCA">
        <w:fldChar w:fldCharType="end"/>
      </w:r>
    </w:p>
    <w:p w:rsidR="009E5C4D" w:rsidRDefault="009E5C4D" w:rsidP="006A3528">
      <w:pPr>
        <w:pStyle w:val="Bullet"/>
      </w:pPr>
      <w:r>
        <w:t>complying with laws and regulations</w:t>
      </w:r>
    </w:p>
    <w:p w:rsidR="009E5C4D" w:rsidRDefault="009E5C4D" w:rsidP="006A3528">
      <w:pPr>
        <w:pStyle w:val="Bullet"/>
      </w:pPr>
      <w:r>
        <w:t>managing change in the VRB’s internal and external environments</w:t>
      </w:r>
    </w:p>
    <w:p w:rsidR="009E5C4D" w:rsidRDefault="009E5C4D" w:rsidP="006A3528">
      <w:pPr>
        <w:pStyle w:val="Bullet"/>
      </w:pPr>
      <w:r>
        <w:t>managing ‘significant interruption’ to critical business processes.</w:t>
      </w:r>
    </w:p>
    <w:p w:rsidR="009E5C4D" w:rsidRDefault="009E5C4D" w:rsidP="009E5C4D">
      <w:r>
        <w:t>For each of these areas, the likelihood and consequences of identified risks have been determined</w:t>
      </w:r>
    </w:p>
    <w:p w:rsidR="009E5C4D" w:rsidRDefault="009E5C4D" w:rsidP="009E5C4D">
      <w:r>
        <w:t>and inform the VRB’s approach to risk mitigation.</w:t>
      </w:r>
    </w:p>
    <w:p w:rsidR="009E5C4D" w:rsidRDefault="009E5C4D" w:rsidP="009E5C4D">
      <w:pPr>
        <w:pStyle w:val="Heading3"/>
      </w:pPr>
      <w:r>
        <w:t>Asset Management</w:t>
      </w:r>
      <w:r w:rsidR="00EC32B8">
        <w:fldChar w:fldCharType="begin"/>
      </w:r>
      <w:r w:rsidR="00EC32B8">
        <w:instrText xml:space="preserve"> XE "</w:instrText>
      </w:r>
      <w:r w:rsidR="00EC32B8" w:rsidRPr="003924C2">
        <w:instrText>asset management</w:instrText>
      </w:r>
      <w:r w:rsidR="00EC32B8">
        <w:instrText xml:space="preserve">" </w:instrText>
      </w:r>
      <w:r w:rsidR="00EC32B8">
        <w:fldChar w:fldCharType="end"/>
      </w:r>
    </w:p>
    <w:p w:rsidR="009E5C4D" w:rsidRDefault="009E5C4D" w:rsidP="009E5C4D">
      <w:r>
        <w:t>All the assets of the VRB are provided to it by DVA. As such, the Department manages, conducts</w:t>
      </w:r>
      <w:r w:rsidR="006A3528">
        <w:t xml:space="preserve"> </w:t>
      </w:r>
      <w:r>
        <w:t>regular stocktakes, and accounts for those assets.</w:t>
      </w:r>
    </w:p>
    <w:p w:rsidR="009E5C4D" w:rsidRDefault="009E5C4D" w:rsidP="009E5C4D">
      <w:pPr>
        <w:pStyle w:val="Heading3"/>
      </w:pPr>
      <w:r>
        <w:t>Professional Development and Performance</w:t>
      </w:r>
    </w:p>
    <w:p w:rsidR="009E5C4D" w:rsidRDefault="009E5C4D" w:rsidP="006A3528">
      <w:r>
        <w:t>Member Professional Development is based on the framework of competencies developed for</w:t>
      </w:r>
      <w:r w:rsidR="006A3528">
        <w:t xml:space="preserve"> </w:t>
      </w:r>
      <w:r>
        <w:t>the VRB. The VRB’s appraisal scheme combines a mid-year self-assessment with appraisal by</w:t>
      </w:r>
      <w:r w:rsidR="006A3528">
        <w:t xml:space="preserve"> </w:t>
      </w:r>
      <w:r>
        <w:t>another VRB member and then a final year assessment with another VRB member or the Principal</w:t>
      </w:r>
      <w:r w:rsidR="006A3528">
        <w:t xml:space="preserve"> </w:t>
      </w:r>
      <w:r>
        <w:t>Member against the framework of Member competencies.</w:t>
      </w:r>
    </w:p>
    <w:p w:rsidR="00694BA8" w:rsidRDefault="00694BA8" w:rsidP="00694BA8">
      <w:r>
        <w:lastRenderedPageBreak/>
        <w:t>A range of learning activities was offered to members during 2016–17, including participating in external seminars, workshops and other professional development activities such as the COAT conferences to stay up to date with developments relevant to their work.</w:t>
      </w:r>
    </w:p>
    <w:p w:rsidR="00694BA8" w:rsidRDefault="00694BA8" w:rsidP="00694BA8">
      <w:r>
        <w:t>Training innovations were also introduced to benefit the wider membership. These focused on rolling out a number of e-learning programs focused on aspects of MRCA and refresher training on common legal issues.</w:t>
      </w:r>
    </w:p>
    <w:p w:rsidR="00694BA8" w:rsidRDefault="00694BA8" w:rsidP="00694BA8">
      <w:r>
        <w:t>There have also been many initiatives undertaken during the reporting year aimed at maintaining and enhancing the skills of staff. These include:</w:t>
      </w:r>
    </w:p>
    <w:p w:rsidR="00694BA8" w:rsidRDefault="00694BA8" w:rsidP="00694BA8">
      <w:pPr>
        <w:pStyle w:val="Bullet"/>
      </w:pPr>
      <w:r>
        <w:t>participation in regular State Registrar and Conference Registrar meetings</w:t>
      </w:r>
    </w:p>
    <w:p w:rsidR="00694BA8" w:rsidRDefault="00694BA8" w:rsidP="00694BA8">
      <w:pPr>
        <w:pStyle w:val="Bullet"/>
      </w:pPr>
      <w:r>
        <w:t>regular registry staff meetings</w:t>
      </w:r>
    </w:p>
    <w:p w:rsidR="00694BA8" w:rsidRDefault="00694BA8" w:rsidP="00694BA8">
      <w:pPr>
        <w:pStyle w:val="Bullet"/>
      </w:pPr>
      <w:r>
        <w:t>attendance of members and staff at relevant external conferences, including the Council of Australasian Tribunals national and state based conferences , Australian Institute of Judicial Administration’s Tribunals’ Conference and the annual conference of the Australian Institute of Administrative Law</w:t>
      </w:r>
    </w:p>
    <w:p w:rsidR="00694BA8" w:rsidRDefault="00694BA8" w:rsidP="00694BA8">
      <w:pPr>
        <w:pStyle w:val="Bullet"/>
      </w:pPr>
      <w:r>
        <w:t>participation of members and staff in relevant external training courses run by DVA and the Australian Public Service Commission and others.</w:t>
      </w:r>
    </w:p>
    <w:p w:rsidR="00694BA8" w:rsidRDefault="00694BA8" w:rsidP="00694BA8">
      <w:r>
        <w:t>The VRB remains actively involved in the joint Tribunals Learning Development Committee and the Council of Australasian Tribunals as part of its ongoing commitment to professional development.</w:t>
      </w:r>
    </w:p>
    <w:p w:rsidR="00694BA8" w:rsidRDefault="00694BA8" w:rsidP="00694BA8">
      <w:pPr>
        <w:pStyle w:val="Heading3"/>
      </w:pPr>
      <w:r>
        <w:t>Work Health and Safety, National Disability Strategy</w:t>
      </w:r>
      <w:r w:rsidR="00741668">
        <w:fldChar w:fldCharType="begin"/>
      </w:r>
      <w:r w:rsidR="00741668">
        <w:instrText xml:space="preserve"> XE "</w:instrText>
      </w:r>
      <w:r w:rsidR="00741668" w:rsidRPr="003924C2">
        <w:instrText>Disability Strategy</w:instrText>
      </w:r>
      <w:r w:rsidR="00741668">
        <w:instrText xml:space="preserve">" </w:instrText>
      </w:r>
      <w:r w:rsidR="00741668">
        <w:fldChar w:fldCharType="end"/>
      </w:r>
      <w:r>
        <w:t xml:space="preserve"> and Social Inclusion</w:t>
      </w:r>
    </w:p>
    <w:p w:rsidR="00694BA8" w:rsidRDefault="00694BA8" w:rsidP="00694BA8">
      <w:r>
        <w:t>As mentioned above, the VRB is within the Veterans’ Affairs portfolio and although it is an independent body from DVA, it follows Departmental guidelines concerning work health and safety</w:t>
      </w:r>
      <w:r w:rsidR="004A74AE">
        <w:fldChar w:fldCharType="begin"/>
      </w:r>
      <w:r w:rsidR="004A74AE">
        <w:instrText xml:space="preserve"> XE "</w:instrText>
      </w:r>
      <w:r w:rsidR="004A74AE" w:rsidRPr="002D7689">
        <w:instrText>work health and safety</w:instrText>
      </w:r>
      <w:r w:rsidR="004A74AE">
        <w:instrText xml:space="preserve">" </w:instrText>
      </w:r>
      <w:r w:rsidR="004A74AE">
        <w:fldChar w:fldCharType="end"/>
      </w:r>
      <w:r>
        <w:t>, as well as access and equity issues.</w:t>
      </w:r>
    </w:p>
    <w:p w:rsidR="00694BA8" w:rsidRDefault="00694BA8" w:rsidP="00694BA8">
      <w:r>
        <w:t>The VRB is included within the Department’s health and safety arrangements, which provide a flexible framework for proactively managing work health and safety. Information relating to Part 4</w:t>
      </w:r>
      <w:r w:rsidR="00E91322">
        <w:t xml:space="preserve"> </w:t>
      </w:r>
      <w:r>
        <w:t xml:space="preserve">Clause 4 of the </w:t>
      </w:r>
      <w:r w:rsidRPr="00E91322">
        <w:rPr>
          <w:i/>
        </w:rPr>
        <w:t>Work Health and Safety Act 2011</w:t>
      </w:r>
      <w:r>
        <w:rPr>
          <w:rFonts w:ascii="HelveticaNeueLTStd-LtIt" w:hAnsi="HelveticaNeueLTStd-LtIt" w:cs="HelveticaNeueLTStd-LtIt"/>
          <w:i/>
          <w:iCs/>
        </w:rPr>
        <w:t xml:space="preserve"> </w:t>
      </w:r>
      <w:r>
        <w:t xml:space="preserve">(Cth) (WHS Act) is contained in </w:t>
      </w:r>
      <w:r w:rsidRPr="00E91322">
        <w:rPr>
          <w:i/>
        </w:rPr>
        <w:t>Appendix H</w:t>
      </w:r>
      <w:r w:rsidR="00E91322" w:rsidRPr="00E91322">
        <w:rPr>
          <w:i/>
        </w:rPr>
        <w:t xml:space="preserve"> </w:t>
      </w:r>
      <w:r w:rsidRPr="00E91322">
        <w:rPr>
          <w:i/>
        </w:rPr>
        <w:t>Workplace Health and Safety</w:t>
      </w:r>
      <w:r>
        <w:rPr>
          <w:rFonts w:ascii="HelveticaNeueLTStd-LtIt" w:hAnsi="HelveticaNeueLTStd-LtIt" w:cs="HelveticaNeueLTStd-LtIt"/>
          <w:i/>
          <w:iCs/>
        </w:rPr>
        <w:t xml:space="preserve"> </w:t>
      </w:r>
      <w:r>
        <w:t>of the Department’s annual report.</w:t>
      </w:r>
    </w:p>
    <w:p w:rsidR="00694BA8" w:rsidRDefault="00694BA8" w:rsidP="00694BA8">
      <w:r>
        <w:t xml:space="preserve">The VRB is also included within the Department’s </w:t>
      </w:r>
      <w:r w:rsidRPr="00E91322">
        <w:rPr>
          <w:i/>
        </w:rPr>
        <w:t>Workplace Diversity Policy and Action Plan</w:t>
      </w:r>
      <w:r w:rsidR="00E91322" w:rsidRPr="00E91322">
        <w:rPr>
          <w:i/>
        </w:rPr>
        <w:t xml:space="preserve"> </w:t>
      </w:r>
      <w:r w:rsidRPr="00E91322">
        <w:rPr>
          <w:i/>
        </w:rPr>
        <w:t>2016-20</w:t>
      </w:r>
      <w:r>
        <w:t>. The VRB is also covered by the Department’s systems and processes to provide</w:t>
      </w:r>
      <w:r w:rsidR="00E91322">
        <w:t xml:space="preserve"> </w:t>
      </w:r>
      <w:r>
        <w:t>workplace support for employees with a disability. More information on both of these issues can</w:t>
      </w:r>
      <w:r w:rsidR="00E91322">
        <w:t xml:space="preserve"> </w:t>
      </w:r>
      <w:r>
        <w:t>be found in the Department’s annual report.</w:t>
      </w:r>
    </w:p>
    <w:p w:rsidR="00694BA8" w:rsidRDefault="00694BA8" w:rsidP="00694BA8">
      <w:pPr>
        <w:pStyle w:val="Heading3"/>
      </w:pPr>
      <w:r>
        <w:t>Resources</w:t>
      </w:r>
    </w:p>
    <w:p w:rsidR="00694BA8" w:rsidRDefault="00694BA8" w:rsidP="00694BA8">
      <w:r>
        <w:t>In the Veterans’ Affairs Portfolio Budget Statement</w:t>
      </w:r>
      <w:r w:rsidR="001D1DCA">
        <w:fldChar w:fldCharType="begin"/>
      </w:r>
      <w:r w:rsidR="001D1DCA">
        <w:instrText xml:space="preserve"> XE "</w:instrText>
      </w:r>
      <w:r w:rsidR="001D1DCA" w:rsidRPr="003924C2">
        <w:instrText>Portfolio Budget Statement</w:instrText>
      </w:r>
      <w:r w:rsidR="001D1DCA">
        <w:instrText xml:space="preserve">" </w:instrText>
      </w:r>
      <w:r w:rsidR="001D1DCA">
        <w:fldChar w:fldCharType="end"/>
      </w:r>
      <w:r>
        <w:t xml:space="preserve"> (PBS) and the Portfolio Additional Estimates</w:t>
      </w:r>
      <w:r w:rsidR="00E91322">
        <w:t xml:space="preserve"> </w:t>
      </w:r>
      <w:r>
        <w:t>Statement</w:t>
      </w:r>
      <w:r w:rsidR="001D1DCA">
        <w:fldChar w:fldCharType="begin"/>
      </w:r>
      <w:r w:rsidR="001D1DCA">
        <w:instrText xml:space="preserve"> XE "</w:instrText>
      </w:r>
      <w:r w:rsidR="001D1DCA" w:rsidRPr="003924C2">
        <w:instrText>Portfolio Additional Estimates Statement</w:instrText>
      </w:r>
      <w:r w:rsidR="001D1DCA">
        <w:instrText xml:space="preserve">" </w:instrText>
      </w:r>
      <w:r w:rsidR="001D1DCA">
        <w:fldChar w:fldCharType="end"/>
      </w:r>
      <w:r>
        <w:t xml:space="preserve"> (PAES) the VRB comes under Outcome 1 and Program 1.3. Detailed financial</w:t>
      </w:r>
      <w:r w:rsidR="00E91322">
        <w:t xml:space="preserve"> </w:t>
      </w:r>
      <w:r>
        <w:t>statements including those relating to the VRB are contained in the DVA Annual Report.</w:t>
      </w:r>
    </w:p>
    <w:p w:rsidR="009E5C4D" w:rsidRDefault="00694BA8" w:rsidP="00694BA8">
      <w:bookmarkStart w:id="28" w:name="TOC_expenditure"/>
      <w:r>
        <w:t>Table 15 outlines actual expenditure</w:t>
      </w:r>
      <w:r w:rsidR="00741668">
        <w:fldChar w:fldCharType="begin"/>
      </w:r>
      <w:r w:rsidR="00741668">
        <w:instrText xml:space="preserve"> XE "</w:instrText>
      </w:r>
      <w:r w:rsidR="00741668" w:rsidRPr="003924C2">
        <w:instrText>expenditure</w:instrText>
      </w:r>
      <w:r w:rsidR="00741668">
        <w:instrText xml:space="preserve">" \r "TOC_expenditure" </w:instrText>
      </w:r>
      <w:r w:rsidR="00741668">
        <w:fldChar w:fldCharType="end"/>
      </w:r>
      <w:r>
        <w:t xml:space="preserve"> for the VRB for the 2016–17 and 2017–18 financial years. Total</w:t>
      </w:r>
      <w:r w:rsidR="00E91322">
        <w:t xml:space="preserve"> </w:t>
      </w:r>
      <w:r>
        <w:t>expenditure for the VRB in the financial year 2016–17 was $5 565 389 compared to $6 038 583 in</w:t>
      </w:r>
      <w:r w:rsidR="00E91322">
        <w:t xml:space="preserve"> </w:t>
      </w:r>
      <w:r>
        <w:t>2017–18.</w:t>
      </w:r>
    </w:p>
    <w:p w:rsidR="00540DAA" w:rsidRDefault="00540DAA" w:rsidP="00540DAA">
      <w:pPr>
        <w:pStyle w:val="Heading3"/>
      </w:pPr>
      <w:r>
        <w:lastRenderedPageBreak/>
        <w:t>New Consultancy Services Contracts</w:t>
      </w:r>
    </w:p>
    <w:p w:rsidR="00E91322" w:rsidRDefault="00540DAA" w:rsidP="0009465B">
      <w:pPr>
        <w:keepNext/>
      </w:pPr>
      <w:r>
        <w:t>During the 2017–18 financial year the VRB did not commission any new consultancy services contract. More information on contracts and consultancies is available through the AusTender website.</w:t>
      </w:r>
    </w:p>
    <w:tbl>
      <w:tblPr>
        <w:tblStyle w:val="TableGrid"/>
        <w:tblW w:w="5000" w:type="pct"/>
        <w:tblBorders>
          <w:top w:val="single" w:sz="4" w:space="0" w:color="A39892"/>
          <w:left w:val="single" w:sz="4" w:space="0" w:color="A39892"/>
          <w:bottom w:val="single" w:sz="4" w:space="0" w:color="A39892"/>
          <w:right w:val="single" w:sz="4" w:space="0" w:color="A39892"/>
          <w:insideH w:val="single" w:sz="4" w:space="0" w:color="A39892"/>
          <w:insideV w:val="single" w:sz="4" w:space="0" w:color="A39892"/>
        </w:tblBorders>
        <w:tblLayout w:type="fixed"/>
        <w:tblCellMar>
          <w:left w:w="115" w:type="dxa"/>
          <w:right w:w="115" w:type="dxa"/>
        </w:tblCellMar>
        <w:tblLook w:val="04A0" w:firstRow="1" w:lastRow="0" w:firstColumn="1" w:lastColumn="0" w:noHBand="0" w:noVBand="1"/>
      </w:tblPr>
      <w:tblGrid>
        <w:gridCol w:w="3805"/>
        <w:gridCol w:w="2071"/>
        <w:gridCol w:w="2072"/>
      </w:tblGrid>
      <w:tr w:rsidR="007A37ED" w:rsidTr="0009465B">
        <w:trPr>
          <w:cantSplit/>
        </w:trPr>
        <w:tc>
          <w:tcPr>
            <w:tcW w:w="3805" w:type="dxa"/>
            <w:shd w:val="clear" w:color="auto" w:fill="A39892"/>
          </w:tcPr>
          <w:p w:rsidR="007A37ED" w:rsidRDefault="007A37ED" w:rsidP="0009465B">
            <w:pPr>
              <w:pStyle w:val="TableName"/>
            </w:pPr>
            <w:r>
              <w:t>Table 14: Veterans’ Review Board Expenditure</w:t>
            </w:r>
          </w:p>
        </w:tc>
        <w:tc>
          <w:tcPr>
            <w:tcW w:w="2071" w:type="dxa"/>
            <w:shd w:val="clear" w:color="auto" w:fill="A39892"/>
          </w:tcPr>
          <w:p w:rsidR="007A37ED" w:rsidRDefault="007A37ED" w:rsidP="0009465B">
            <w:pPr>
              <w:pStyle w:val="TableText"/>
              <w:jc w:val="center"/>
            </w:pPr>
            <w:r>
              <w:t>2016–17</w:t>
            </w:r>
            <w:r>
              <w:br/>
              <w:t>($’000)</w:t>
            </w:r>
          </w:p>
        </w:tc>
        <w:tc>
          <w:tcPr>
            <w:tcW w:w="2072" w:type="dxa"/>
            <w:shd w:val="clear" w:color="auto" w:fill="A39892"/>
          </w:tcPr>
          <w:p w:rsidR="007A37ED" w:rsidRDefault="007A37ED" w:rsidP="0009465B">
            <w:pPr>
              <w:pStyle w:val="TableText"/>
              <w:jc w:val="center"/>
            </w:pPr>
            <w:r>
              <w:t>2017–18</w:t>
            </w:r>
            <w:r>
              <w:br/>
              <w:t>($’000)</w:t>
            </w:r>
          </w:p>
        </w:tc>
      </w:tr>
      <w:tr w:rsidR="007A37ED" w:rsidTr="0009465B">
        <w:trPr>
          <w:cantSplit/>
        </w:trPr>
        <w:tc>
          <w:tcPr>
            <w:tcW w:w="3805" w:type="dxa"/>
          </w:tcPr>
          <w:p w:rsidR="007A37ED" w:rsidRDefault="007A37ED" w:rsidP="0009465B">
            <w:pPr>
              <w:pStyle w:val="TableText"/>
              <w:spacing w:before="44" w:after="38"/>
            </w:pPr>
            <w:r>
              <w:t>Salaries (includes superannuation)</w:t>
            </w:r>
          </w:p>
        </w:tc>
        <w:tc>
          <w:tcPr>
            <w:tcW w:w="2071" w:type="dxa"/>
          </w:tcPr>
          <w:p w:rsidR="007A37ED" w:rsidRDefault="007A37ED" w:rsidP="0009465B">
            <w:pPr>
              <w:pStyle w:val="TableText"/>
              <w:spacing w:before="44" w:after="38"/>
              <w:jc w:val="center"/>
            </w:pPr>
          </w:p>
        </w:tc>
        <w:tc>
          <w:tcPr>
            <w:tcW w:w="2072" w:type="dxa"/>
          </w:tcPr>
          <w:p w:rsidR="007A37ED" w:rsidRDefault="007A37ED" w:rsidP="0009465B">
            <w:pPr>
              <w:pStyle w:val="TableText"/>
              <w:spacing w:before="44" w:after="38"/>
              <w:jc w:val="center"/>
            </w:pPr>
          </w:p>
        </w:tc>
      </w:tr>
      <w:tr w:rsidR="007A37ED" w:rsidTr="0009465B">
        <w:trPr>
          <w:cantSplit/>
        </w:trPr>
        <w:tc>
          <w:tcPr>
            <w:tcW w:w="3805" w:type="dxa"/>
          </w:tcPr>
          <w:p w:rsidR="007A37ED" w:rsidRDefault="007A37ED" w:rsidP="0009465B">
            <w:pPr>
              <w:pStyle w:val="TableText"/>
              <w:spacing w:before="44" w:after="38"/>
              <w:ind w:left="144"/>
            </w:pPr>
            <w:r>
              <w:t>Members</w:t>
            </w:r>
          </w:p>
        </w:tc>
        <w:tc>
          <w:tcPr>
            <w:tcW w:w="2071" w:type="dxa"/>
          </w:tcPr>
          <w:p w:rsidR="007A37ED" w:rsidRDefault="007A37ED" w:rsidP="0009465B">
            <w:pPr>
              <w:pStyle w:val="TableText"/>
              <w:spacing w:before="44" w:after="38"/>
              <w:jc w:val="center"/>
            </w:pPr>
            <w:r>
              <w:t>2,069</w:t>
            </w:r>
          </w:p>
        </w:tc>
        <w:tc>
          <w:tcPr>
            <w:tcW w:w="2072" w:type="dxa"/>
          </w:tcPr>
          <w:p w:rsidR="007A37ED" w:rsidRDefault="007A37ED" w:rsidP="0009465B">
            <w:pPr>
              <w:pStyle w:val="TableText"/>
              <w:spacing w:before="44" w:after="38"/>
              <w:jc w:val="center"/>
            </w:pPr>
            <w:r>
              <w:t>2,541</w:t>
            </w:r>
          </w:p>
        </w:tc>
      </w:tr>
      <w:tr w:rsidR="007A37ED" w:rsidTr="0009465B">
        <w:trPr>
          <w:cantSplit/>
        </w:trPr>
        <w:tc>
          <w:tcPr>
            <w:tcW w:w="3805" w:type="dxa"/>
          </w:tcPr>
          <w:p w:rsidR="007A37ED" w:rsidRDefault="007A37ED" w:rsidP="0009465B">
            <w:pPr>
              <w:pStyle w:val="TableText"/>
              <w:spacing w:before="44" w:after="38"/>
              <w:ind w:left="144"/>
            </w:pPr>
            <w:r>
              <w:t>Staff (includes o/time &amp; temps)</w:t>
            </w:r>
          </w:p>
        </w:tc>
        <w:tc>
          <w:tcPr>
            <w:tcW w:w="2071" w:type="dxa"/>
          </w:tcPr>
          <w:p w:rsidR="007A37ED" w:rsidRDefault="007A37ED" w:rsidP="0009465B">
            <w:pPr>
              <w:pStyle w:val="TableText"/>
              <w:spacing w:before="44" w:after="38"/>
              <w:jc w:val="center"/>
            </w:pPr>
            <w:r>
              <w:t>2,887</w:t>
            </w:r>
          </w:p>
        </w:tc>
        <w:tc>
          <w:tcPr>
            <w:tcW w:w="2072" w:type="dxa"/>
          </w:tcPr>
          <w:p w:rsidR="007A37ED" w:rsidRDefault="007A37ED" w:rsidP="0009465B">
            <w:pPr>
              <w:pStyle w:val="TableText"/>
              <w:spacing w:before="44" w:after="38"/>
              <w:jc w:val="center"/>
            </w:pPr>
            <w:r>
              <w:t>2,903</w:t>
            </w:r>
          </w:p>
        </w:tc>
      </w:tr>
      <w:tr w:rsidR="007A37ED" w:rsidTr="0009465B">
        <w:trPr>
          <w:cantSplit/>
        </w:trPr>
        <w:tc>
          <w:tcPr>
            <w:tcW w:w="3805" w:type="dxa"/>
          </w:tcPr>
          <w:p w:rsidR="007A37ED" w:rsidRDefault="007A37ED" w:rsidP="0009465B">
            <w:pPr>
              <w:pStyle w:val="TableText"/>
              <w:spacing w:before="44" w:after="38"/>
              <w:jc w:val="right"/>
            </w:pPr>
            <w:r>
              <w:t>TOTAL</w:t>
            </w:r>
          </w:p>
        </w:tc>
        <w:tc>
          <w:tcPr>
            <w:tcW w:w="2071" w:type="dxa"/>
          </w:tcPr>
          <w:p w:rsidR="007A37ED" w:rsidRDefault="007A37ED" w:rsidP="0009465B">
            <w:pPr>
              <w:pStyle w:val="TableText"/>
              <w:spacing w:before="44" w:after="38"/>
              <w:jc w:val="center"/>
            </w:pPr>
            <w:r>
              <w:t>4.957</w:t>
            </w:r>
          </w:p>
        </w:tc>
        <w:tc>
          <w:tcPr>
            <w:tcW w:w="2072" w:type="dxa"/>
          </w:tcPr>
          <w:p w:rsidR="007A37ED" w:rsidRDefault="007A37ED" w:rsidP="0009465B">
            <w:pPr>
              <w:pStyle w:val="TableText"/>
              <w:spacing w:before="44" w:after="38"/>
              <w:jc w:val="center"/>
            </w:pPr>
            <w:r>
              <w:t>5,444</w:t>
            </w:r>
          </w:p>
        </w:tc>
      </w:tr>
      <w:tr w:rsidR="007A37ED" w:rsidTr="0009465B">
        <w:trPr>
          <w:cantSplit/>
        </w:trPr>
        <w:tc>
          <w:tcPr>
            <w:tcW w:w="3805" w:type="dxa"/>
          </w:tcPr>
          <w:p w:rsidR="007A37ED" w:rsidRDefault="007A37ED" w:rsidP="0009465B">
            <w:pPr>
              <w:pStyle w:val="TableText"/>
              <w:spacing w:before="44" w:after="38"/>
            </w:pPr>
            <w:r>
              <w:t>Fares</w:t>
            </w:r>
          </w:p>
        </w:tc>
        <w:tc>
          <w:tcPr>
            <w:tcW w:w="2071" w:type="dxa"/>
          </w:tcPr>
          <w:p w:rsidR="007A37ED" w:rsidRDefault="007A37ED" w:rsidP="0009465B">
            <w:pPr>
              <w:pStyle w:val="TableText"/>
              <w:spacing w:before="44" w:after="38"/>
              <w:jc w:val="center"/>
            </w:pPr>
          </w:p>
        </w:tc>
        <w:tc>
          <w:tcPr>
            <w:tcW w:w="2072" w:type="dxa"/>
          </w:tcPr>
          <w:p w:rsidR="007A37ED" w:rsidRDefault="007A37ED" w:rsidP="0009465B">
            <w:pPr>
              <w:pStyle w:val="TableText"/>
              <w:spacing w:before="44" w:after="38"/>
              <w:jc w:val="center"/>
            </w:pPr>
          </w:p>
        </w:tc>
      </w:tr>
      <w:tr w:rsidR="007A37ED" w:rsidTr="0009465B">
        <w:trPr>
          <w:cantSplit/>
        </w:trPr>
        <w:tc>
          <w:tcPr>
            <w:tcW w:w="3805" w:type="dxa"/>
          </w:tcPr>
          <w:p w:rsidR="007A37ED" w:rsidRDefault="007A37ED" w:rsidP="0009465B">
            <w:pPr>
              <w:pStyle w:val="TableText"/>
              <w:spacing w:before="44" w:after="38"/>
              <w:ind w:left="144"/>
            </w:pPr>
            <w:r>
              <w:t>Members</w:t>
            </w:r>
          </w:p>
        </w:tc>
        <w:tc>
          <w:tcPr>
            <w:tcW w:w="2071" w:type="dxa"/>
          </w:tcPr>
          <w:p w:rsidR="007A37ED" w:rsidRDefault="007A37ED" w:rsidP="0009465B">
            <w:pPr>
              <w:pStyle w:val="TableText"/>
              <w:spacing w:before="44" w:after="38"/>
              <w:jc w:val="center"/>
            </w:pPr>
            <w:r>
              <w:t>87</w:t>
            </w:r>
          </w:p>
        </w:tc>
        <w:tc>
          <w:tcPr>
            <w:tcW w:w="2072" w:type="dxa"/>
          </w:tcPr>
          <w:p w:rsidR="007A37ED" w:rsidRDefault="007A37ED" w:rsidP="0009465B">
            <w:pPr>
              <w:pStyle w:val="TableText"/>
              <w:spacing w:before="44" w:after="38"/>
              <w:jc w:val="center"/>
            </w:pPr>
            <w:r>
              <w:t>92</w:t>
            </w:r>
          </w:p>
        </w:tc>
      </w:tr>
      <w:tr w:rsidR="007A37ED" w:rsidTr="0009465B">
        <w:trPr>
          <w:cantSplit/>
        </w:trPr>
        <w:tc>
          <w:tcPr>
            <w:tcW w:w="3805" w:type="dxa"/>
          </w:tcPr>
          <w:p w:rsidR="007A37ED" w:rsidRDefault="007A37ED" w:rsidP="0009465B">
            <w:pPr>
              <w:pStyle w:val="TableText"/>
              <w:spacing w:before="44" w:after="38"/>
              <w:ind w:left="144"/>
            </w:pPr>
            <w:r>
              <w:t>Staff</w:t>
            </w:r>
          </w:p>
        </w:tc>
        <w:tc>
          <w:tcPr>
            <w:tcW w:w="2071" w:type="dxa"/>
          </w:tcPr>
          <w:p w:rsidR="007A37ED" w:rsidRDefault="007A37ED" w:rsidP="0009465B">
            <w:pPr>
              <w:pStyle w:val="TableText"/>
              <w:spacing w:before="44" w:after="38"/>
              <w:jc w:val="center"/>
            </w:pPr>
            <w:r>
              <w:t>43</w:t>
            </w:r>
          </w:p>
        </w:tc>
        <w:tc>
          <w:tcPr>
            <w:tcW w:w="2072" w:type="dxa"/>
          </w:tcPr>
          <w:p w:rsidR="007A37ED" w:rsidRDefault="007A37ED" w:rsidP="0009465B">
            <w:pPr>
              <w:pStyle w:val="TableText"/>
              <w:spacing w:before="44" w:after="38"/>
              <w:jc w:val="center"/>
            </w:pPr>
            <w:r>
              <w:t>40</w:t>
            </w:r>
          </w:p>
        </w:tc>
      </w:tr>
      <w:tr w:rsidR="007A37ED" w:rsidTr="0009465B">
        <w:trPr>
          <w:cantSplit/>
        </w:trPr>
        <w:tc>
          <w:tcPr>
            <w:tcW w:w="3805" w:type="dxa"/>
          </w:tcPr>
          <w:p w:rsidR="007A37ED" w:rsidRDefault="007A37ED" w:rsidP="0009465B">
            <w:pPr>
              <w:pStyle w:val="TableText"/>
              <w:spacing w:before="44" w:after="38"/>
              <w:ind w:left="144"/>
            </w:pPr>
            <w:r>
              <w:t>Cars (includes parking)</w:t>
            </w:r>
          </w:p>
        </w:tc>
        <w:tc>
          <w:tcPr>
            <w:tcW w:w="2071" w:type="dxa"/>
          </w:tcPr>
          <w:p w:rsidR="007A37ED" w:rsidRDefault="007A37ED" w:rsidP="0009465B">
            <w:pPr>
              <w:pStyle w:val="TableText"/>
              <w:spacing w:before="44" w:after="38"/>
              <w:jc w:val="center"/>
            </w:pPr>
            <w:r>
              <w:t>7</w:t>
            </w:r>
          </w:p>
        </w:tc>
        <w:tc>
          <w:tcPr>
            <w:tcW w:w="2072" w:type="dxa"/>
          </w:tcPr>
          <w:p w:rsidR="007A37ED" w:rsidRDefault="007A37ED" w:rsidP="0009465B">
            <w:pPr>
              <w:pStyle w:val="TableText"/>
              <w:spacing w:before="44" w:after="38"/>
              <w:jc w:val="center"/>
            </w:pPr>
            <w:r>
              <w:t>10</w:t>
            </w:r>
          </w:p>
        </w:tc>
      </w:tr>
      <w:tr w:rsidR="007A37ED" w:rsidTr="0009465B">
        <w:trPr>
          <w:cantSplit/>
        </w:trPr>
        <w:tc>
          <w:tcPr>
            <w:tcW w:w="3805" w:type="dxa"/>
          </w:tcPr>
          <w:p w:rsidR="007A37ED" w:rsidRDefault="007A37ED" w:rsidP="0009465B">
            <w:pPr>
              <w:pStyle w:val="TableText"/>
              <w:spacing w:before="44" w:after="38"/>
              <w:jc w:val="right"/>
            </w:pPr>
            <w:r>
              <w:t>TOTAL</w:t>
            </w:r>
          </w:p>
        </w:tc>
        <w:tc>
          <w:tcPr>
            <w:tcW w:w="2071" w:type="dxa"/>
          </w:tcPr>
          <w:p w:rsidR="007A37ED" w:rsidRDefault="007A37ED" w:rsidP="0009465B">
            <w:pPr>
              <w:pStyle w:val="TableText"/>
              <w:spacing w:before="44" w:after="38"/>
              <w:jc w:val="center"/>
            </w:pPr>
            <w:r>
              <w:t>137</w:t>
            </w:r>
          </w:p>
        </w:tc>
        <w:tc>
          <w:tcPr>
            <w:tcW w:w="2072" w:type="dxa"/>
          </w:tcPr>
          <w:p w:rsidR="007A37ED" w:rsidRDefault="007A37ED" w:rsidP="0009465B">
            <w:pPr>
              <w:pStyle w:val="TableText"/>
              <w:spacing w:before="44" w:after="38"/>
              <w:jc w:val="center"/>
            </w:pPr>
            <w:r>
              <w:t>142</w:t>
            </w:r>
          </w:p>
        </w:tc>
      </w:tr>
      <w:tr w:rsidR="007A37ED" w:rsidTr="0009465B">
        <w:trPr>
          <w:cantSplit/>
        </w:trPr>
        <w:tc>
          <w:tcPr>
            <w:tcW w:w="3805" w:type="dxa"/>
          </w:tcPr>
          <w:p w:rsidR="007A37ED" w:rsidRDefault="0009465B" w:rsidP="0009465B">
            <w:pPr>
              <w:pStyle w:val="TableText"/>
              <w:spacing w:before="44" w:after="38"/>
            </w:pPr>
            <w:r>
              <w:t>Accommodation</w:t>
            </w:r>
          </w:p>
        </w:tc>
        <w:tc>
          <w:tcPr>
            <w:tcW w:w="2071" w:type="dxa"/>
          </w:tcPr>
          <w:p w:rsidR="007A37ED" w:rsidRDefault="007A37ED" w:rsidP="0009465B">
            <w:pPr>
              <w:pStyle w:val="TableText"/>
              <w:spacing w:before="44" w:after="38"/>
              <w:jc w:val="center"/>
            </w:pPr>
          </w:p>
        </w:tc>
        <w:tc>
          <w:tcPr>
            <w:tcW w:w="2072" w:type="dxa"/>
          </w:tcPr>
          <w:p w:rsidR="007A37ED" w:rsidRDefault="007A37ED" w:rsidP="0009465B">
            <w:pPr>
              <w:pStyle w:val="TableText"/>
              <w:spacing w:before="44" w:after="38"/>
              <w:jc w:val="center"/>
            </w:pPr>
          </w:p>
        </w:tc>
      </w:tr>
      <w:tr w:rsidR="0009465B" w:rsidTr="0009465B">
        <w:trPr>
          <w:cantSplit/>
        </w:trPr>
        <w:tc>
          <w:tcPr>
            <w:tcW w:w="3805" w:type="dxa"/>
          </w:tcPr>
          <w:p w:rsidR="0009465B" w:rsidRDefault="0009465B" w:rsidP="0009465B">
            <w:pPr>
              <w:pStyle w:val="TableText"/>
              <w:spacing w:before="44" w:after="38"/>
              <w:ind w:left="144"/>
            </w:pPr>
            <w:r>
              <w:t>Members</w:t>
            </w:r>
          </w:p>
        </w:tc>
        <w:tc>
          <w:tcPr>
            <w:tcW w:w="2071" w:type="dxa"/>
          </w:tcPr>
          <w:p w:rsidR="0009465B" w:rsidRDefault="0009465B" w:rsidP="0009465B">
            <w:pPr>
              <w:pStyle w:val="TableText"/>
              <w:spacing w:before="44" w:after="38"/>
              <w:jc w:val="center"/>
            </w:pPr>
            <w:r>
              <w:t>88</w:t>
            </w:r>
          </w:p>
        </w:tc>
        <w:tc>
          <w:tcPr>
            <w:tcW w:w="2072" w:type="dxa"/>
          </w:tcPr>
          <w:p w:rsidR="0009465B" w:rsidRDefault="0009465B" w:rsidP="0009465B">
            <w:pPr>
              <w:pStyle w:val="TableText"/>
              <w:spacing w:before="44" w:after="38"/>
              <w:jc w:val="center"/>
            </w:pPr>
            <w:r>
              <w:t>95</w:t>
            </w:r>
          </w:p>
        </w:tc>
      </w:tr>
      <w:tr w:rsidR="0009465B" w:rsidTr="0009465B">
        <w:trPr>
          <w:cantSplit/>
        </w:trPr>
        <w:tc>
          <w:tcPr>
            <w:tcW w:w="3805" w:type="dxa"/>
          </w:tcPr>
          <w:p w:rsidR="0009465B" w:rsidRDefault="0009465B" w:rsidP="0009465B">
            <w:pPr>
              <w:pStyle w:val="TableText"/>
              <w:spacing w:before="44" w:after="38"/>
              <w:ind w:left="144"/>
            </w:pPr>
            <w:r>
              <w:t>Staff</w:t>
            </w:r>
          </w:p>
        </w:tc>
        <w:tc>
          <w:tcPr>
            <w:tcW w:w="2071" w:type="dxa"/>
          </w:tcPr>
          <w:p w:rsidR="0009465B" w:rsidRDefault="0009465B" w:rsidP="0009465B">
            <w:pPr>
              <w:pStyle w:val="TableText"/>
              <w:spacing w:before="44" w:after="38"/>
              <w:jc w:val="center"/>
            </w:pPr>
            <w:r>
              <w:t>32</w:t>
            </w:r>
          </w:p>
        </w:tc>
        <w:tc>
          <w:tcPr>
            <w:tcW w:w="2072" w:type="dxa"/>
          </w:tcPr>
          <w:p w:rsidR="0009465B" w:rsidRDefault="0009465B" w:rsidP="0009465B">
            <w:pPr>
              <w:pStyle w:val="TableText"/>
              <w:spacing w:before="44" w:after="38"/>
              <w:jc w:val="center"/>
            </w:pPr>
            <w:r>
              <w:t>37</w:t>
            </w:r>
          </w:p>
        </w:tc>
      </w:tr>
      <w:tr w:rsidR="0009465B" w:rsidTr="0009465B">
        <w:trPr>
          <w:cantSplit/>
        </w:trPr>
        <w:tc>
          <w:tcPr>
            <w:tcW w:w="3805" w:type="dxa"/>
          </w:tcPr>
          <w:p w:rsidR="0009465B" w:rsidRDefault="0009465B" w:rsidP="0009465B">
            <w:pPr>
              <w:pStyle w:val="TableText"/>
              <w:spacing w:before="44" w:after="38"/>
              <w:jc w:val="right"/>
            </w:pPr>
            <w:r>
              <w:t>TOTAL</w:t>
            </w:r>
          </w:p>
        </w:tc>
        <w:tc>
          <w:tcPr>
            <w:tcW w:w="2071" w:type="dxa"/>
          </w:tcPr>
          <w:p w:rsidR="0009465B" w:rsidRDefault="0009465B" w:rsidP="0009465B">
            <w:pPr>
              <w:pStyle w:val="TableText"/>
              <w:spacing w:before="44" w:after="38"/>
              <w:jc w:val="center"/>
            </w:pPr>
            <w:r>
              <w:t>120</w:t>
            </w:r>
          </w:p>
        </w:tc>
        <w:tc>
          <w:tcPr>
            <w:tcW w:w="2072" w:type="dxa"/>
          </w:tcPr>
          <w:p w:rsidR="0009465B" w:rsidRDefault="0009465B" w:rsidP="0009465B">
            <w:pPr>
              <w:pStyle w:val="TableText"/>
              <w:spacing w:before="44" w:after="38"/>
              <w:jc w:val="center"/>
            </w:pPr>
            <w:r>
              <w:t>132</w:t>
            </w:r>
          </w:p>
        </w:tc>
      </w:tr>
      <w:tr w:rsidR="0009465B" w:rsidTr="0009465B">
        <w:trPr>
          <w:cantSplit/>
        </w:trPr>
        <w:tc>
          <w:tcPr>
            <w:tcW w:w="3805" w:type="dxa"/>
          </w:tcPr>
          <w:p w:rsidR="0009465B" w:rsidRDefault="0009465B" w:rsidP="0009465B">
            <w:pPr>
              <w:pStyle w:val="TableText"/>
              <w:spacing w:before="44" w:after="38"/>
            </w:pPr>
            <w:r>
              <w:t>Travelling Allowance</w:t>
            </w:r>
          </w:p>
        </w:tc>
        <w:tc>
          <w:tcPr>
            <w:tcW w:w="2071" w:type="dxa"/>
          </w:tcPr>
          <w:p w:rsidR="0009465B" w:rsidRDefault="0009465B" w:rsidP="0009465B">
            <w:pPr>
              <w:pStyle w:val="TableText"/>
              <w:spacing w:before="44" w:after="38"/>
              <w:jc w:val="center"/>
            </w:pPr>
          </w:p>
        </w:tc>
        <w:tc>
          <w:tcPr>
            <w:tcW w:w="2072" w:type="dxa"/>
          </w:tcPr>
          <w:p w:rsidR="0009465B" w:rsidRDefault="0009465B" w:rsidP="0009465B">
            <w:pPr>
              <w:pStyle w:val="TableText"/>
              <w:spacing w:before="44" w:after="38"/>
              <w:jc w:val="center"/>
            </w:pPr>
          </w:p>
        </w:tc>
      </w:tr>
      <w:tr w:rsidR="0009465B" w:rsidTr="0009465B">
        <w:trPr>
          <w:cantSplit/>
        </w:trPr>
        <w:tc>
          <w:tcPr>
            <w:tcW w:w="3805" w:type="dxa"/>
          </w:tcPr>
          <w:p w:rsidR="0009465B" w:rsidRDefault="0009465B" w:rsidP="0009465B">
            <w:pPr>
              <w:pStyle w:val="TableText"/>
              <w:spacing w:before="44" w:after="38"/>
              <w:ind w:left="144"/>
            </w:pPr>
            <w:r>
              <w:t>Members</w:t>
            </w:r>
          </w:p>
        </w:tc>
        <w:tc>
          <w:tcPr>
            <w:tcW w:w="2071" w:type="dxa"/>
          </w:tcPr>
          <w:p w:rsidR="0009465B" w:rsidRDefault="0009465B" w:rsidP="0009465B">
            <w:pPr>
              <w:pStyle w:val="TableText"/>
              <w:spacing w:before="44" w:after="38"/>
              <w:jc w:val="center"/>
            </w:pPr>
            <w:r>
              <w:t>55</w:t>
            </w:r>
          </w:p>
        </w:tc>
        <w:tc>
          <w:tcPr>
            <w:tcW w:w="2072" w:type="dxa"/>
          </w:tcPr>
          <w:p w:rsidR="0009465B" w:rsidRDefault="0009465B" w:rsidP="0009465B">
            <w:pPr>
              <w:pStyle w:val="TableText"/>
              <w:spacing w:before="44" w:after="38"/>
              <w:jc w:val="center"/>
            </w:pPr>
            <w:r>
              <w:t>65</w:t>
            </w:r>
          </w:p>
        </w:tc>
      </w:tr>
      <w:tr w:rsidR="0009465B" w:rsidTr="0009465B">
        <w:trPr>
          <w:cantSplit/>
        </w:trPr>
        <w:tc>
          <w:tcPr>
            <w:tcW w:w="3805" w:type="dxa"/>
          </w:tcPr>
          <w:p w:rsidR="0009465B" w:rsidRDefault="0009465B" w:rsidP="0009465B">
            <w:pPr>
              <w:pStyle w:val="TableText"/>
              <w:spacing w:before="44" w:after="38"/>
              <w:ind w:left="144"/>
            </w:pPr>
            <w:r>
              <w:t>Staff</w:t>
            </w:r>
          </w:p>
        </w:tc>
        <w:tc>
          <w:tcPr>
            <w:tcW w:w="2071" w:type="dxa"/>
          </w:tcPr>
          <w:p w:rsidR="0009465B" w:rsidRDefault="0009465B" w:rsidP="0009465B">
            <w:pPr>
              <w:pStyle w:val="TableText"/>
              <w:spacing w:before="44" w:after="38"/>
              <w:jc w:val="center"/>
            </w:pPr>
            <w:r>
              <w:t>17</w:t>
            </w:r>
          </w:p>
        </w:tc>
        <w:tc>
          <w:tcPr>
            <w:tcW w:w="2072" w:type="dxa"/>
          </w:tcPr>
          <w:p w:rsidR="0009465B" w:rsidRDefault="0009465B" w:rsidP="0009465B">
            <w:pPr>
              <w:pStyle w:val="TableText"/>
              <w:spacing w:before="44" w:after="38"/>
              <w:jc w:val="center"/>
            </w:pPr>
            <w:r>
              <w:t>20</w:t>
            </w:r>
          </w:p>
        </w:tc>
      </w:tr>
      <w:tr w:rsidR="0009465B" w:rsidTr="0009465B">
        <w:trPr>
          <w:cantSplit/>
        </w:trPr>
        <w:tc>
          <w:tcPr>
            <w:tcW w:w="3805" w:type="dxa"/>
          </w:tcPr>
          <w:p w:rsidR="0009465B" w:rsidRDefault="0009465B" w:rsidP="0009465B">
            <w:pPr>
              <w:pStyle w:val="TableText"/>
              <w:spacing w:before="44" w:after="38"/>
              <w:jc w:val="right"/>
            </w:pPr>
            <w:r>
              <w:t>TOTAL</w:t>
            </w:r>
          </w:p>
        </w:tc>
        <w:tc>
          <w:tcPr>
            <w:tcW w:w="2071" w:type="dxa"/>
          </w:tcPr>
          <w:p w:rsidR="0009465B" w:rsidRDefault="0009465B" w:rsidP="0009465B">
            <w:pPr>
              <w:pStyle w:val="TableText"/>
              <w:spacing w:before="44" w:after="38"/>
              <w:jc w:val="center"/>
            </w:pPr>
            <w:r>
              <w:t>72</w:t>
            </w:r>
          </w:p>
        </w:tc>
        <w:tc>
          <w:tcPr>
            <w:tcW w:w="2072" w:type="dxa"/>
          </w:tcPr>
          <w:p w:rsidR="0009465B" w:rsidRDefault="0009465B" w:rsidP="0009465B">
            <w:pPr>
              <w:pStyle w:val="TableText"/>
              <w:spacing w:before="44" w:after="38"/>
              <w:jc w:val="center"/>
            </w:pPr>
            <w:r>
              <w:t>75</w:t>
            </w:r>
          </w:p>
        </w:tc>
      </w:tr>
      <w:tr w:rsidR="0009465B" w:rsidTr="0009465B">
        <w:trPr>
          <w:cantSplit/>
        </w:trPr>
        <w:tc>
          <w:tcPr>
            <w:tcW w:w="3805" w:type="dxa"/>
          </w:tcPr>
          <w:p w:rsidR="0009465B" w:rsidRDefault="0009465B" w:rsidP="0009465B">
            <w:pPr>
              <w:pStyle w:val="TableText"/>
              <w:spacing w:before="44" w:after="38"/>
            </w:pPr>
            <w:r>
              <w:t>Office Requisites</w:t>
            </w:r>
          </w:p>
        </w:tc>
        <w:tc>
          <w:tcPr>
            <w:tcW w:w="2071" w:type="dxa"/>
          </w:tcPr>
          <w:p w:rsidR="0009465B" w:rsidRDefault="0009465B" w:rsidP="0009465B">
            <w:pPr>
              <w:pStyle w:val="TableText"/>
              <w:spacing w:before="44" w:after="38"/>
              <w:jc w:val="center"/>
            </w:pPr>
          </w:p>
        </w:tc>
        <w:tc>
          <w:tcPr>
            <w:tcW w:w="2072" w:type="dxa"/>
          </w:tcPr>
          <w:p w:rsidR="0009465B" w:rsidRDefault="0009465B" w:rsidP="0009465B">
            <w:pPr>
              <w:pStyle w:val="TableText"/>
              <w:spacing w:before="44" w:after="38"/>
              <w:jc w:val="center"/>
            </w:pPr>
          </w:p>
        </w:tc>
      </w:tr>
      <w:tr w:rsidR="0009465B" w:rsidTr="0009465B">
        <w:trPr>
          <w:cantSplit/>
        </w:trPr>
        <w:tc>
          <w:tcPr>
            <w:tcW w:w="3805" w:type="dxa"/>
          </w:tcPr>
          <w:p w:rsidR="0009465B" w:rsidRDefault="0009465B" w:rsidP="0009465B">
            <w:pPr>
              <w:pStyle w:val="TableText"/>
              <w:spacing w:before="44" w:after="38"/>
              <w:ind w:left="144"/>
            </w:pPr>
            <w:r>
              <w:t>Stationery and office requisites</w:t>
            </w:r>
          </w:p>
        </w:tc>
        <w:tc>
          <w:tcPr>
            <w:tcW w:w="2071" w:type="dxa"/>
          </w:tcPr>
          <w:p w:rsidR="0009465B" w:rsidRDefault="0009465B" w:rsidP="0009465B">
            <w:pPr>
              <w:pStyle w:val="TableText"/>
              <w:spacing w:before="44" w:after="38"/>
              <w:jc w:val="center"/>
            </w:pPr>
            <w:r>
              <w:t>90</w:t>
            </w:r>
          </w:p>
        </w:tc>
        <w:tc>
          <w:tcPr>
            <w:tcW w:w="2072" w:type="dxa"/>
          </w:tcPr>
          <w:p w:rsidR="0009465B" w:rsidRDefault="0009465B" w:rsidP="0009465B">
            <w:pPr>
              <w:pStyle w:val="TableText"/>
              <w:spacing w:before="44" w:after="38"/>
              <w:jc w:val="center"/>
            </w:pPr>
            <w:r>
              <w:t>95</w:t>
            </w:r>
          </w:p>
        </w:tc>
      </w:tr>
      <w:tr w:rsidR="0009465B" w:rsidTr="0009465B">
        <w:trPr>
          <w:cantSplit/>
        </w:trPr>
        <w:tc>
          <w:tcPr>
            <w:tcW w:w="3805" w:type="dxa"/>
          </w:tcPr>
          <w:p w:rsidR="0009465B" w:rsidRDefault="0009465B" w:rsidP="0009465B">
            <w:pPr>
              <w:pStyle w:val="TableText"/>
              <w:spacing w:before="44" w:after="38"/>
              <w:ind w:left="144"/>
            </w:pPr>
            <w:r>
              <w:t>Printing</w:t>
            </w:r>
          </w:p>
        </w:tc>
        <w:tc>
          <w:tcPr>
            <w:tcW w:w="2071" w:type="dxa"/>
          </w:tcPr>
          <w:p w:rsidR="0009465B" w:rsidRDefault="0009465B" w:rsidP="0009465B">
            <w:pPr>
              <w:pStyle w:val="TableText"/>
              <w:spacing w:before="44" w:after="38"/>
              <w:jc w:val="center"/>
            </w:pPr>
            <w:r>
              <w:t>15</w:t>
            </w:r>
          </w:p>
        </w:tc>
        <w:tc>
          <w:tcPr>
            <w:tcW w:w="2072" w:type="dxa"/>
          </w:tcPr>
          <w:p w:rsidR="0009465B" w:rsidRDefault="0009465B" w:rsidP="0009465B">
            <w:pPr>
              <w:pStyle w:val="TableText"/>
              <w:spacing w:before="44" w:after="38"/>
              <w:jc w:val="center"/>
            </w:pPr>
            <w:r>
              <w:t>19</w:t>
            </w:r>
          </w:p>
        </w:tc>
      </w:tr>
      <w:tr w:rsidR="0009465B" w:rsidTr="0009465B">
        <w:trPr>
          <w:cantSplit/>
        </w:trPr>
        <w:tc>
          <w:tcPr>
            <w:tcW w:w="3805" w:type="dxa"/>
          </w:tcPr>
          <w:p w:rsidR="0009465B" w:rsidRDefault="0009465B" w:rsidP="0009465B">
            <w:pPr>
              <w:pStyle w:val="TableText"/>
              <w:spacing w:before="44" w:after="38"/>
              <w:jc w:val="right"/>
            </w:pPr>
            <w:r>
              <w:t>TOTAL</w:t>
            </w:r>
          </w:p>
        </w:tc>
        <w:tc>
          <w:tcPr>
            <w:tcW w:w="2071" w:type="dxa"/>
          </w:tcPr>
          <w:p w:rsidR="0009465B" w:rsidRDefault="0009465B" w:rsidP="0009465B">
            <w:pPr>
              <w:pStyle w:val="TableText"/>
              <w:spacing w:before="44" w:after="38"/>
              <w:jc w:val="center"/>
            </w:pPr>
            <w:r>
              <w:t>105</w:t>
            </w:r>
          </w:p>
        </w:tc>
        <w:tc>
          <w:tcPr>
            <w:tcW w:w="2072" w:type="dxa"/>
          </w:tcPr>
          <w:p w:rsidR="0009465B" w:rsidRDefault="0009465B" w:rsidP="0009465B">
            <w:pPr>
              <w:pStyle w:val="TableText"/>
              <w:spacing w:before="44" w:after="38"/>
              <w:jc w:val="center"/>
            </w:pPr>
            <w:r>
              <w:t>114</w:t>
            </w:r>
          </w:p>
        </w:tc>
      </w:tr>
      <w:tr w:rsidR="0009465B" w:rsidTr="0009465B">
        <w:trPr>
          <w:cantSplit/>
        </w:trPr>
        <w:tc>
          <w:tcPr>
            <w:tcW w:w="3805" w:type="dxa"/>
          </w:tcPr>
          <w:p w:rsidR="0009465B" w:rsidRDefault="0009465B" w:rsidP="0009465B">
            <w:pPr>
              <w:pStyle w:val="TableText"/>
              <w:spacing w:before="44" w:after="38"/>
            </w:pPr>
            <w:r>
              <w:t>Postage and Telephones</w:t>
            </w:r>
          </w:p>
        </w:tc>
        <w:tc>
          <w:tcPr>
            <w:tcW w:w="2071" w:type="dxa"/>
          </w:tcPr>
          <w:p w:rsidR="0009465B" w:rsidRDefault="0009465B" w:rsidP="0009465B">
            <w:pPr>
              <w:pStyle w:val="TableText"/>
              <w:spacing w:before="44" w:after="38"/>
              <w:jc w:val="center"/>
            </w:pPr>
          </w:p>
        </w:tc>
        <w:tc>
          <w:tcPr>
            <w:tcW w:w="2072" w:type="dxa"/>
          </w:tcPr>
          <w:p w:rsidR="0009465B" w:rsidRDefault="0009465B" w:rsidP="0009465B">
            <w:pPr>
              <w:pStyle w:val="TableText"/>
              <w:spacing w:before="44" w:after="38"/>
              <w:jc w:val="center"/>
            </w:pPr>
          </w:p>
        </w:tc>
      </w:tr>
      <w:tr w:rsidR="0009465B" w:rsidTr="0009465B">
        <w:trPr>
          <w:cantSplit/>
        </w:trPr>
        <w:tc>
          <w:tcPr>
            <w:tcW w:w="3805" w:type="dxa"/>
          </w:tcPr>
          <w:p w:rsidR="0009465B" w:rsidRDefault="0009465B" w:rsidP="0009465B">
            <w:pPr>
              <w:pStyle w:val="TableText"/>
              <w:spacing w:before="44" w:after="38"/>
              <w:ind w:left="144"/>
            </w:pPr>
            <w:r>
              <w:t>Postage</w:t>
            </w:r>
          </w:p>
        </w:tc>
        <w:tc>
          <w:tcPr>
            <w:tcW w:w="2071" w:type="dxa"/>
          </w:tcPr>
          <w:p w:rsidR="0009465B" w:rsidRDefault="0009465B" w:rsidP="0009465B">
            <w:pPr>
              <w:pStyle w:val="TableText"/>
              <w:spacing w:before="44" w:after="38"/>
              <w:jc w:val="center"/>
            </w:pPr>
            <w:r>
              <w:t>46</w:t>
            </w:r>
          </w:p>
        </w:tc>
        <w:tc>
          <w:tcPr>
            <w:tcW w:w="2072" w:type="dxa"/>
          </w:tcPr>
          <w:p w:rsidR="0009465B" w:rsidRDefault="0009465B" w:rsidP="0009465B">
            <w:pPr>
              <w:pStyle w:val="TableText"/>
              <w:spacing w:before="44" w:after="38"/>
              <w:jc w:val="center"/>
            </w:pPr>
            <w:r>
              <w:t>49</w:t>
            </w:r>
          </w:p>
        </w:tc>
      </w:tr>
      <w:tr w:rsidR="0009465B" w:rsidTr="0009465B">
        <w:trPr>
          <w:cantSplit/>
        </w:trPr>
        <w:tc>
          <w:tcPr>
            <w:tcW w:w="3805" w:type="dxa"/>
          </w:tcPr>
          <w:p w:rsidR="0009465B" w:rsidRDefault="0009465B" w:rsidP="0009465B">
            <w:pPr>
              <w:pStyle w:val="TableText"/>
              <w:spacing w:before="44" w:after="38"/>
              <w:ind w:left="144"/>
            </w:pPr>
            <w:r>
              <w:t>Telephones/fax/IT</w:t>
            </w:r>
          </w:p>
        </w:tc>
        <w:tc>
          <w:tcPr>
            <w:tcW w:w="2071" w:type="dxa"/>
          </w:tcPr>
          <w:p w:rsidR="0009465B" w:rsidRDefault="0009465B" w:rsidP="0009465B">
            <w:pPr>
              <w:pStyle w:val="TableText"/>
              <w:spacing w:before="44" w:after="38"/>
              <w:jc w:val="center"/>
            </w:pPr>
            <w:r>
              <w:t>1</w:t>
            </w:r>
          </w:p>
        </w:tc>
        <w:tc>
          <w:tcPr>
            <w:tcW w:w="2072" w:type="dxa"/>
          </w:tcPr>
          <w:p w:rsidR="0009465B" w:rsidRDefault="0009465B" w:rsidP="0009465B">
            <w:pPr>
              <w:pStyle w:val="TableText"/>
              <w:spacing w:before="44" w:after="38"/>
              <w:jc w:val="center"/>
            </w:pPr>
            <w:r>
              <w:t>1</w:t>
            </w:r>
          </w:p>
        </w:tc>
      </w:tr>
      <w:tr w:rsidR="0009465B" w:rsidTr="0009465B">
        <w:trPr>
          <w:cantSplit/>
        </w:trPr>
        <w:tc>
          <w:tcPr>
            <w:tcW w:w="3805" w:type="dxa"/>
          </w:tcPr>
          <w:p w:rsidR="0009465B" w:rsidRDefault="0009465B" w:rsidP="0009465B">
            <w:pPr>
              <w:pStyle w:val="TableText"/>
              <w:spacing w:before="44" w:after="38"/>
              <w:jc w:val="right"/>
            </w:pPr>
            <w:r>
              <w:t>TOTAL</w:t>
            </w:r>
          </w:p>
        </w:tc>
        <w:tc>
          <w:tcPr>
            <w:tcW w:w="2071" w:type="dxa"/>
          </w:tcPr>
          <w:p w:rsidR="0009465B" w:rsidRDefault="0009465B" w:rsidP="0009465B">
            <w:pPr>
              <w:pStyle w:val="TableText"/>
              <w:spacing w:before="44" w:after="38"/>
              <w:jc w:val="center"/>
            </w:pPr>
            <w:r>
              <w:t>47</w:t>
            </w:r>
          </w:p>
        </w:tc>
        <w:tc>
          <w:tcPr>
            <w:tcW w:w="2072" w:type="dxa"/>
          </w:tcPr>
          <w:p w:rsidR="0009465B" w:rsidRDefault="0009465B" w:rsidP="0009465B">
            <w:pPr>
              <w:pStyle w:val="TableText"/>
              <w:spacing w:before="44" w:after="38"/>
              <w:jc w:val="center"/>
            </w:pPr>
            <w:r>
              <w:t>50</w:t>
            </w:r>
          </w:p>
        </w:tc>
      </w:tr>
      <w:tr w:rsidR="0009465B" w:rsidTr="0009465B">
        <w:trPr>
          <w:cantSplit/>
        </w:trPr>
        <w:tc>
          <w:tcPr>
            <w:tcW w:w="3805" w:type="dxa"/>
          </w:tcPr>
          <w:p w:rsidR="0009465B" w:rsidRDefault="0009465B" w:rsidP="0009465B">
            <w:pPr>
              <w:pStyle w:val="TableText"/>
              <w:spacing w:before="44" w:after="38"/>
            </w:pPr>
            <w:r>
              <w:t>Incidental Expenditure</w:t>
            </w:r>
          </w:p>
        </w:tc>
        <w:tc>
          <w:tcPr>
            <w:tcW w:w="2071" w:type="dxa"/>
          </w:tcPr>
          <w:p w:rsidR="0009465B" w:rsidRDefault="0009465B" w:rsidP="0009465B">
            <w:pPr>
              <w:pStyle w:val="TableText"/>
              <w:spacing w:before="44" w:after="38"/>
              <w:jc w:val="center"/>
            </w:pPr>
          </w:p>
        </w:tc>
        <w:tc>
          <w:tcPr>
            <w:tcW w:w="2072" w:type="dxa"/>
          </w:tcPr>
          <w:p w:rsidR="0009465B" w:rsidRDefault="0009465B" w:rsidP="0009465B">
            <w:pPr>
              <w:pStyle w:val="TableText"/>
              <w:spacing w:before="44" w:after="38"/>
              <w:jc w:val="center"/>
            </w:pPr>
          </w:p>
        </w:tc>
      </w:tr>
      <w:tr w:rsidR="0009465B" w:rsidTr="0009465B">
        <w:trPr>
          <w:cantSplit/>
        </w:trPr>
        <w:tc>
          <w:tcPr>
            <w:tcW w:w="3805" w:type="dxa"/>
          </w:tcPr>
          <w:p w:rsidR="0009465B" w:rsidRDefault="0009465B" w:rsidP="0009465B">
            <w:pPr>
              <w:pStyle w:val="TableText"/>
              <w:spacing w:before="44" w:after="38"/>
              <w:ind w:left="144"/>
            </w:pPr>
            <w:r>
              <w:t>Freight &amp; cartage</w:t>
            </w:r>
          </w:p>
        </w:tc>
        <w:tc>
          <w:tcPr>
            <w:tcW w:w="2071" w:type="dxa"/>
          </w:tcPr>
          <w:p w:rsidR="0009465B" w:rsidRDefault="0009465B" w:rsidP="0009465B">
            <w:pPr>
              <w:pStyle w:val="TableText"/>
              <w:spacing w:before="44" w:after="38"/>
              <w:jc w:val="center"/>
            </w:pPr>
            <w:r>
              <w:t>22</w:t>
            </w:r>
          </w:p>
        </w:tc>
        <w:tc>
          <w:tcPr>
            <w:tcW w:w="2072" w:type="dxa"/>
          </w:tcPr>
          <w:p w:rsidR="0009465B" w:rsidRDefault="0009465B" w:rsidP="0009465B">
            <w:pPr>
              <w:pStyle w:val="TableText"/>
              <w:spacing w:before="44" w:after="38"/>
              <w:jc w:val="center"/>
            </w:pPr>
            <w:r>
              <w:t>25</w:t>
            </w:r>
          </w:p>
        </w:tc>
      </w:tr>
      <w:tr w:rsidR="0009465B" w:rsidTr="0009465B">
        <w:trPr>
          <w:cantSplit/>
        </w:trPr>
        <w:tc>
          <w:tcPr>
            <w:tcW w:w="3805" w:type="dxa"/>
          </w:tcPr>
          <w:p w:rsidR="0009465B" w:rsidRDefault="0009465B" w:rsidP="0009465B">
            <w:pPr>
              <w:pStyle w:val="TableText"/>
              <w:spacing w:before="44" w:after="38"/>
              <w:ind w:left="144"/>
            </w:pPr>
            <w:r>
              <w:t>Advertising</w:t>
            </w:r>
          </w:p>
        </w:tc>
        <w:tc>
          <w:tcPr>
            <w:tcW w:w="2071" w:type="dxa"/>
          </w:tcPr>
          <w:p w:rsidR="0009465B" w:rsidRDefault="0009465B" w:rsidP="0009465B">
            <w:pPr>
              <w:pStyle w:val="TableText"/>
              <w:spacing w:before="44" w:after="38"/>
              <w:jc w:val="center"/>
            </w:pPr>
            <w:r>
              <w:t>0</w:t>
            </w:r>
          </w:p>
        </w:tc>
        <w:tc>
          <w:tcPr>
            <w:tcW w:w="2072" w:type="dxa"/>
          </w:tcPr>
          <w:p w:rsidR="0009465B" w:rsidRDefault="0009465B" w:rsidP="0009465B">
            <w:pPr>
              <w:pStyle w:val="TableText"/>
              <w:spacing w:before="44" w:after="38"/>
              <w:jc w:val="center"/>
            </w:pPr>
            <w:r>
              <w:t>0</w:t>
            </w:r>
          </w:p>
        </w:tc>
      </w:tr>
      <w:tr w:rsidR="0009465B" w:rsidTr="0009465B">
        <w:trPr>
          <w:cantSplit/>
        </w:trPr>
        <w:tc>
          <w:tcPr>
            <w:tcW w:w="3805" w:type="dxa"/>
          </w:tcPr>
          <w:p w:rsidR="0009465B" w:rsidRDefault="0009465B" w:rsidP="0009465B">
            <w:pPr>
              <w:pStyle w:val="TableText"/>
              <w:spacing w:before="44" w:after="38"/>
              <w:ind w:left="144"/>
            </w:pPr>
            <w:r>
              <w:t>Training</w:t>
            </w:r>
          </w:p>
        </w:tc>
        <w:tc>
          <w:tcPr>
            <w:tcW w:w="2071" w:type="dxa"/>
          </w:tcPr>
          <w:p w:rsidR="0009465B" w:rsidRDefault="0009465B" w:rsidP="0009465B">
            <w:pPr>
              <w:pStyle w:val="TableText"/>
              <w:spacing w:before="44" w:after="38"/>
              <w:jc w:val="center"/>
            </w:pPr>
            <w:r>
              <w:t>54</w:t>
            </w:r>
          </w:p>
        </w:tc>
        <w:tc>
          <w:tcPr>
            <w:tcW w:w="2072" w:type="dxa"/>
          </w:tcPr>
          <w:p w:rsidR="0009465B" w:rsidRDefault="0009465B" w:rsidP="0009465B">
            <w:pPr>
              <w:pStyle w:val="TableText"/>
              <w:spacing w:before="44" w:after="38"/>
              <w:jc w:val="center"/>
            </w:pPr>
            <w:r>
              <w:t>16</w:t>
            </w:r>
          </w:p>
        </w:tc>
      </w:tr>
      <w:tr w:rsidR="0009465B" w:rsidTr="0009465B">
        <w:trPr>
          <w:cantSplit/>
        </w:trPr>
        <w:tc>
          <w:tcPr>
            <w:tcW w:w="3805" w:type="dxa"/>
          </w:tcPr>
          <w:p w:rsidR="0009465B" w:rsidRDefault="0009465B" w:rsidP="0009465B">
            <w:pPr>
              <w:pStyle w:val="TableText"/>
              <w:spacing w:before="44" w:after="38"/>
              <w:ind w:left="144"/>
            </w:pPr>
            <w:r>
              <w:t>Miscellaneous</w:t>
            </w:r>
          </w:p>
        </w:tc>
        <w:tc>
          <w:tcPr>
            <w:tcW w:w="2071" w:type="dxa"/>
          </w:tcPr>
          <w:p w:rsidR="0009465B" w:rsidRDefault="0009465B" w:rsidP="0009465B">
            <w:pPr>
              <w:pStyle w:val="TableText"/>
              <w:spacing w:before="44" w:after="38"/>
              <w:jc w:val="center"/>
            </w:pPr>
            <w:r>
              <w:t>24</w:t>
            </w:r>
          </w:p>
        </w:tc>
        <w:tc>
          <w:tcPr>
            <w:tcW w:w="2072" w:type="dxa"/>
          </w:tcPr>
          <w:p w:rsidR="0009465B" w:rsidRDefault="0009465B" w:rsidP="0009465B">
            <w:pPr>
              <w:pStyle w:val="TableText"/>
              <w:spacing w:before="44" w:after="38"/>
              <w:jc w:val="center"/>
            </w:pPr>
            <w:r>
              <w:t>10</w:t>
            </w:r>
          </w:p>
        </w:tc>
      </w:tr>
      <w:tr w:rsidR="0009465B" w:rsidTr="0009465B">
        <w:trPr>
          <w:cantSplit/>
        </w:trPr>
        <w:tc>
          <w:tcPr>
            <w:tcW w:w="3805" w:type="dxa"/>
          </w:tcPr>
          <w:p w:rsidR="0009465B" w:rsidRDefault="0009465B" w:rsidP="0009465B">
            <w:pPr>
              <w:pStyle w:val="TableText"/>
              <w:spacing w:before="44" w:after="38"/>
              <w:ind w:left="144"/>
            </w:pPr>
            <w:r>
              <w:t>Archiving</w:t>
            </w:r>
          </w:p>
        </w:tc>
        <w:tc>
          <w:tcPr>
            <w:tcW w:w="2071" w:type="dxa"/>
          </w:tcPr>
          <w:p w:rsidR="0009465B" w:rsidRDefault="0009465B" w:rsidP="0009465B">
            <w:pPr>
              <w:pStyle w:val="TableText"/>
              <w:spacing w:before="44" w:after="38"/>
              <w:jc w:val="center"/>
            </w:pPr>
            <w:r>
              <w:t>27</w:t>
            </w:r>
          </w:p>
        </w:tc>
        <w:tc>
          <w:tcPr>
            <w:tcW w:w="2072" w:type="dxa"/>
          </w:tcPr>
          <w:p w:rsidR="0009465B" w:rsidRDefault="0009465B" w:rsidP="0009465B">
            <w:pPr>
              <w:pStyle w:val="TableText"/>
              <w:spacing w:before="44" w:after="38"/>
              <w:jc w:val="center"/>
            </w:pPr>
            <w:r>
              <w:t>30</w:t>
            </w:r>
          </w:p>
        </w:tc>
      </w:tr>
      <w:tr w:rsidR="0009465B" w:rsidTr="0009465B">
        <w:trPr>
          <w:cantSplit/>
        </w:trPr>
        <w:tc>
          <w:tcPr>
            <w:tcW w:w="3805" w:type="dxa"/>
          </w:tcPr>
          <w:p w:rsidR="0009465B" w:rsidRDefault="0009465B" w:rsidP="0009465B">
            <w:pPr>
              <w:pStyle w:val="TableText"/>
              <w:spacing w:before="44" w:after="38"/>
              <w:jc w:val="right"/>
            </w:pPr>
            <w:r>
              <w:t>TOTAL</w:t>
            </w:r>
          </w:p>
        </w:tc>
        <w:tc>
          <w:tcPr>
            <w:tcW w:w="2071" w:type="dxa"/>
          </w:tcPr>
          <w:p w:rsidR="0009465B" w:rsidRDefault="0009465B" w:rsidP="0009465B">
            <w:pPr>
              <w:pStyle w:val="TableText"/>
              <w:spacing w:before="44" w:after="38"/>
              <w:jc w:val="center"/>
            </w:pPr>
            <w:r>
              <w:t>130</w:t>
            </w:r>
          </w:p>
        </w:tc>
        <w:tc>
          <w:tcPr>
            <w:tcW w:w="2072" w:type="dxa"/>
          </w:tcPr>
          <w:p w:rsidR="0009465B" w:rsidRDefault="0009465B" w:rsidP="0009465B">
            <w:pPr>
              <w:pStyle w:val="TableText"/>
              <w:spacing w:before="44" w:after="38"/>
              <w:jc w:val="center"/>
            </w:pPr>
            <w:r>
              <w:t>81</w:t>
            </w:r>
          </w:p>
        </w:tc>
      </w:tr>
      <w:tr w:rsidR="0009465B" w:rsidTr="0009465B">
        <w:trPr>
          <w:cantSplit/>
        </w:trPr>
        <w:tc>
          <w:tcPr>
            <w:tcW w:w="3805" w:type="dxa"/>
          </w:tcPr>
          <w:p w:rsidR="0009465B" w:rsidRDefault="0009465B" w:rsidP="0009465B">
            <w:pPr>
              <w:pStyle w:val="TableText"/>
              <w:spacing w:before="44" w:after="38"/>
              <w:jc w:val="right"/>
            </w:pPr>
            <w:r>
              <w:t>GRAND TOTAL</w:t>
            </w:r>
          </w:p>
        </w:tc>
        <w:tc>
          <w:tcPr>
            <w:tcW w:w="2071" w:type="dxa"/>
          </w:tcPr>
          <w:p w:rsidR="0009465B" w:rsidRDefault="0009465B" w:rsidP="0009465B">
            <w:pPr>
              <w:pStyle w:val="TableText"/>
              <w:spacing w:before="44" w:after="38"/>
              <w:jc w:val="center"/>
            </w:pPr>
            <w:r>
              <w:t>5,565</w:t>
            </w:r>
          </w:p>
        </w:tc>
        <w:tc>
          <w:tcPr>
            <w:tcW w:w="2072" w:type="dxa"/>
          </w:tcPr>
          <w:p w:rsidR="0009465B" w:rsidRDefault="0009465B" w:rsidP="0009465B">
            <w:pPr>
              <w:pStyle w:val="TableText"/>
              <w:spacing w:before="44" w:after="38"/>
              <w:jc w:val="center"/>
            </w:pPr>
            <w:r>
              <w:t>6,038</w:t>
            </w:r>
          </w:p>
        </w:tc>
      </w:tr>
    </w:tbl>
    <w:bookmarkEnd w:id="28"/>
    <w:p w:rsidR="003C0C25" w:rsidRDefault="003C0C25" w:rsidP="003C0C25">
      <w:pPr>
        <w:pStyle w:val="Heading3"/>
      </w:pPr>
      <w:r>
        <w:lastRenderedPageBreak/>
        <w:t>Fraud control</w:t>
      </w:r>
      <w:r w:rsidR="00741668">
        <w:fldChar w:fldCharType="begin"/>
      </w:r>
      <w:r w:rsidR="00741668">
        <w:instrText xml:space="preserve"> XE "</w:instrText>
      </w:r>
      <w:r w:rsidR="00741668" w:rsidRPr="003924C2">
        <w:instrText>fraud control</w:instrText>
      </w:r>
      <w:r w:rsidR="00741668">
        <w:instrText xml:space="preserve">" </w:instrText>
      </w:r>
      <w:r w:rsidR="00741668">
        <w:fldChar w:fldCharType="end"/>
      </w:r>
    </w:p>
    <w:p w:rsidR="003C0C25" w:rsidRDefault="003C0C25" w:rsidP="002B3081">
      <w:pPr>
        <w:keepNext/>
      </w:pPr>
      <w:r>
        <w:t>The VRB remains committed to developing and maintaining best practice strategies for the prevention and detection of fraud. The Finance Manager bears responsibility for fraud control and prevention and detection activities within the VRB.</w:t>
      </w:r>
    </w:p>
    <w:p w:rsidR="00540DAA" w:rsidRDefault="003C0C25" w:rsidP="002B3081">
      <w:pPr>
        <w:keepNext/>
      </w:pPr>
      <w:r>
        <w:t>There were no incidents of fraud detected or reported for the VRB during the financial year.</w:t>
      </w:r>
    </w:p>
    <w:p w:rsidR="003C0C25" w:rsidRDefault="002B3081" w:rsidP="003C0C25">
      <w:r>
        <w:rPr>
          <w:noProof/>
          <w:lang w:eastAsia="en-AU"/>
        </w:rPr>
        <w:drawing>
          <wp:inline distT="0" distB="0" distL="0" distR="0">
            <wp:extent cx="4900295" cy="6271895"/>
            <wp:effectExtent l="0" t="0" r="0" b="0"/>
            <wp:docPr id="50" name="Picture 50" descr="Certification of VRB&#10;Fraud Control Arrangements&#10;&#10;I, Jane Anderson, certify that I am satisfied that for the financial year 2017–18 the VRB:&#10;• Has had appropriate fraud risk assessments and fraud control plans in place that comply with the Commonwealth Fraud Control Guidelines;&#10;• Has had appropriate fraud prevention, detection, investigation and reporting procedures and processes in place; and&#10;• Has collected and reported on annual fraud data in a manner that complies with the Commonwealth Fraud Control Guidelines.&#10;&#10;Jane Anderson&#10;Principal Member&#10;28 September 20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DP Plus\Docs\DVA\Veterans' Review Board\Annual Report 2017-18\sourcedocs\pg5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00295" cy="6271895"/>
                    </a:xfrm>
                    <a:prstGeom prst="rect">
                      <a:avLst/>
                    </a:prstGeom>
                    <a:noFill/>
                    <a:ln>
                      <a:noFill/>
                    </a:ln>
                  </pic:spPr>
                </pic:pic>
              </a:graphicData>
            </a:graphic>
          </wp:inline>
        </w:drawing>
      </w:r>
    </w:p>
    <w:p w:rsidR="00587B14" w:rsidRDefault="00587B14" w:rsidP="00587B14">
      <w:pPr>
        <w:pStyle w:val="Heading1"/>
        <w:pageBreakBefore/>
      </w:pPr>
      <w:bookmarkStart w:id="29" w:name="_Toc532322369"/>
      <w:r>
        <w:lastRenderedPageBreak/>
        <w:t>Appendix 1</w:t>
      </w:r>
      <w:bookmarkEnd w:id="29"/>
    </w:p>
    <w:p w:rsidR="00587B14" w:rsidRDefault="00587B14" w:rsidP="00587B14">
      <w:pPr>
        <w:pStyle w:val="Heading3"/>
      </w:pPr>
      <w:bookmarkStart w:id="30" w:name="TOC_fedcourt"/>
      <w:bookmarkStart w:id="31" w:name="TOC_decided"/>
      <w:r>
        <w:t>Court Decisions</w:t>
      </w:r>
      <w:r w:rsidR="00660120">
        <w:fldChar w:fldCharType="begin"/>
      </w:r>
      <w:r w:rsidR="00660120">
        <w:instrText xml:space="preserve"> XE "</w:instrText>
      </w:r>
      <w:r w:rsidR="00660120" w:rsidRPr="003924C2">
        <w:instrText>matters decided</w:instrText>
      </w:r>
      <w:r w:rsidR="00660120">
        <w:instrText xml:space="preserve">" \r "TOC_decided" </w:instrText>
      </w:r>
      <w:r w:rsidR="00660120">
        <w:fldChar w:fldCharType="end"/>
      </w:r>
    </w:p>
    <w:p w:rsidR="00587B14" w:rsidRDefault="00587B14" w:rsidP="00587B14">
      <w:r>
        <w:t xml:space="preserve">Under the VEA, the MRCA and the </w:t>
      </w:r>
      <w:r w:rsidRPr="00587B14">
        <w:rPr>
          <w:i/>
        </w:rPr>
        <w:t>Administrative Appeals Tribunal Act 1975</w:t>
      </w:r>
      <w:r>
        <w:t>, decisions of the VRB are subject to review on the merits by the Administrative Appeals Tribunal (AAT). Parties may appeal to the Federal Court</w:t>
      </w:r>
      <w:r w:rsidR="00741668">
        <w:fldChar w:fldCharType="begin"/>
      </w:r>
      <w:r w:rsidR="00741668">
        <w:instrText xml:space="preserve"> XE "</w:instrText>
      </w:r>
      <w:r w:rsidR="00741668" w:rsidRPr="003924C2">
        <w:instrText>Federal Court</w:instrText>
      </w:r>
      <w:r w:rsidR="00741668">
        <w:instrText xml:space="preserve">" \r "TOC_fedcourt" </w:instrText>
      </w:r>
      <w:r w:rsidR="00741668">
        <w:fldChar w:fldCharType="end"/>
      </w:r>
      <w:r>
        <w:t xml:space="preserve"> on questions of law from decisions of the AAT.</w:t>
      </w:r>
    </w:p>
    <w:p w:rsidR="00587B14" w:rsidRDefault="00587B14" w:rsidP="00587B14">
      <w:r>
        <w:t xml:space="preserve">While there is no direct right of appeal to the Federal Court from a decision of the VRB, decisions are subject to review by the Federal Court under the </w:t>
      </w:r>
      <w:r w:rsidRPr="00587B14">
        <w:rPr>
          <w:i/>
        </w:rPr>
        <w:t>Administrative Decisions (Judicial Review) Act 1977</w:t>
      </w:r>
      <w:r>
        <w:rPr>
          <w:rFonts w:ascii="HelveticaNeueLTStd-LtIt" w:hAnsi="HelveticaNeueLTStd-LtIt" w:cs="HelveticaNeueLTStd-LtIt"/>
          <w:i/>
          <w:iCs/>
        </w:rPr>
        <w:t xml:space="preserve"> </w:t>
      </w:r>
      <w:r>
        <w:t xml:space="preserve">(AD(JR) Act), on the grounds set out in that Act or alternatively the </w:t>
      </w:r>
      <w:r w:rsidRPr="00587B14">
        <w:rPr>
          <w:i/>
        </w:rPr>
        <w:t>Judiciary Act 1903</w:t>
      </w:r>
      <w:r>
        <w:t>.</w:t>
      </w:r>
    </w:p>
    <w:p w:rsidR="00587B14" w:rsidRDefault="00587B14" w:rsidP="00587B14">
      <w:r>
        <w:t>Certain matters may be heard in the Federal Magistrates Court</w:t>
      </w:r>
      <w:r w:rsidR="00741668">
        <w:fldChar w:fldCharType="begin"/>
      </w:r>
      <w:r w:rsidR="00741668">
        <w:instrText xml:space="preserve"> XE "</w:instrText>
      </w:r>
      <w:r w:rsidR="00741668" w:rsidRPr="003924C2">
        <w:instrText>Federal Magistrates Court</w:instrText>
      </w:r>
      <w:r w:rsidR="00741668">
        <w:instrText xml:space="preserve">" </w:instrText>
      </w:r>
      <w:r w:rsidR="00741668">
        <w:fldChar w:fldCharType="end"/>
      </w:r>
      <w:r>
        <w:t>, either in its original jurisdiction</w:t>
      </w:r>
      <w:r w:rsidR="00C202FD">
        <w:fldChar w:fldCharType="begin"/>
      </w:r>
      <w:r w:rsidR="00C202FD">
        <w:instrText xml:space="preserve"> XE "</w:instrText>
      </w:r>
      <w:r w:rsidR="00C202FD" w:rsidRPr="003924C2">
        <w:instrText>jurisdiction</w:instrText>
      </w:r>
      <w:r w:rsidR="00C202FD">
        <w:instrText xml:space="preserve">" </w:instrText>
      </w:r>
      <w:r w:rsidR="00C202FD">
        <w:fldChar w:fldCharType="end"/>
      </w:r>
      <w:r>
        <w:t xml:space="preserve"> under the AD(JR) Act or upon transfer from the Federal Court.</w:t>
      </w:r>
    </w:p>
    <w:p w:rsidR="00587B14" w:rsidRDefault="00587B14" w:rsidP="00587B14">
      <w:pPr>
        <w:pStyle w:val="Heading3"/>
      </w:pPr>
      <w:r>
        <w:t>Federal Court of Australia</w:t>
      </w:r>
    </w:p>
    <w:p w:rsidR="00587B14" w:rsidRDefault="00587B14" w:rsidP="00587B14">
      <w:pPr>
        <w:pStyle w:val="Heading3"/>
      </w:pPr>
      <w:r>
        <w:t>Administrative Appeals Tribunal</w:t>
      </w:r>
      <w:r w:rsidR="00EC32B8">
        <w:fldChar w:fldCharType="begin"/>
      </w:r>
      <w:r w:rsidR="00EC32B8">
        <w:instrText xml:space="preserve"> XE "</w:instrText>
      </w:r>
      <w:r w:rsidR="00EC32B8" w:rsidRPr="003924C2">
        <w:instrText>Administrative Appeals Tribunal</w:instrText>
      </w:r>
      <w:r w:rsidR="00EC32B8">
        <w:instrText xml:space="preserve">" </w:instrText>
      </w:r>
      <w:r w:rsidR="00EC32B8">
        <w:fldChar w:fldCharType="end"/>
      </w:r>
      <w:r>
        <w:t xml:space="preserve"> Act 1975</w:t>
      </w:r>
    </w:p>
    <w:p w:rsidR="00587B14" w:rsidRDefault="00587B14" w:rsidP="00587B14">
      <w:r>
        <w:t>In 2017–18 there were three Federal Court judgments where the VRB had been a part of the appeal path:</w:t>
      </w:r>
    </w:p>
    <w:p w:rsidR="00587B14" w:rsidRDefault="00587B14" w:rsidP="00587B14">
      <w:pPr>
        <w:pStyle w:val="Bullet"/>
      </w:pPr>
      <w:r w:rsidRPr="00587B14">
        <w:rPr>
          <w:i/>
        </w:rPr>
        <w:t>Saxton v Repatriation Commission</w:t>
      </w:r>
      <w:r>
        <w:rPr>
          <w:rFonts w:ascii="HelveticaNeueLTStd-LtIt" w:hAnsi="HelveticaNeueLTStd-LtIt" w:cs="HelveticaNeueLTStd-LtIt"/>
        </w:rPr>
        <w:t xml:space="preserve"> </w:t>
      </w:r>
      <w:r>
        <w:t>[2017] FCA 904 (7 August 2017)</w:t>
      </w:r>
    </w:p>
    <w:p w:rsidR="00587B14" w:rsidRDefault="00587B14" w:rsidP="00587B14">
      <w:pPr>
        <w:pStyle w:val="Bullet"/>
      </w:pPr>
      <w:r w:rsidRPr="00587B14">
        <w:rPr>
          <w:i/>
        </w:rPr>
        <w:t>Whitehouse v Repatriation Commission</w:t>
      </w:r>
      <w:r>
        <w:rPr>
          <w:rFonts w:ascii="HelveticaNeueLTStd-LtIt" w:hAnsi="HelveticaNeueLTStd-LtIt" w:cs="HelveticaNeueLTStd-LtIt"/>
          <w:i/>
          <w:iCs/>
        </w:rPr>
        <w:t xml:space="preserve"> </w:t>
      </w:r>
      <w:r>
        <w:t>[2017] FCA 1085 (15 September 2017)</w:t>
      </w:r>
    </w:p>
    <w:p w:rsidR="00587B14" w:rsidRPr="00587B14" w:rsidRDefault="00587B14" w:rsidP="00587B14">
      <w:pPr>
        <w:pStyle w:val="Bullet"/>
      </w:pPr>
      <w:r w:rsidRPr="00587B14">
        <w:rPr>
          <w:i/>
        </w:rPr>
        <w:t>Saltmarsh v Repatriation Commission</w:t>
      </w:r>
      <w:r w:rsidRPr="00587B14">
        <w:t xml:space="preserve"> [2018] FCA 28 (29 January 2018)</w:t>
      </w:r>
    </w:p>
    <w:p w:rsidR="00587B14" w:rsidRDefault="00587B14" w:rsidP="00587B14">
      <w:pPr>
        <w:pStyle w:val="Heading3"/>
      </w:pPr>
      <w:r>
        <w:t>Issues dealt with by Court Decisions</w:t>
      </w:r>
    </w:p>
    <w:p w:rsidR="00587B14" w:rsidRDefault="00587B14" w:rsidP="00587B14">
      <w:r>
        <w:rPr>
          <w:rFonts w:ascii="Calibri" w:hAnsi="Calibri" w:cs="Calibri"/>
        </w:rPr>
        <w:t xml:space="preserve">In </w:t>
      </w:r>
      <w:r w:rsidRPr="00587B14">
        <w:rPr>
          <w:i/>
        </w:rPr>
        <w:t>Saxton</w:t>
      </w:r>
      <w:r w:rsidRPr="00587B14">
        <w:t>,</w:t>
      </w:r>
      <w:r>
        <w:rPr>
          <w:rFonts w:ascii="Calibri" w:hAnsi="Calibri" w:cs="Calibri"/>
        </w:rPr>
        <w:t xml:space="preserve"> </w:t>
      </w:r>
      <w:r>
        <w:t>the appeal to the Federal Court was concerned with the AAT’s construction of the applicant’s “last paid work” in subsections 24(2A)(d) and (g). The appeal was successful on the point that the AAT wrongly construed section 24(2A)(g) as requiring that both the applicant’s Navy work and civilian work must separately meet the criterion in section 24(2A)(g). The Court considered the purpose of section 24(2A)(g) is best promoted by construing “last paid work” as referring to any one of the remunerative activities found to constitute “last paid work” for the purposes of section 24(2A)(d).</w:t>
      </w:r>
    </w:p>
    <w:p w:rsidR="00587B14" w:rsidRDefault="00587B14" w:rsidP="00587B14">
      <w:r>
        <w:t xml:space="preserve">Please note, there have been legislative changes to sections 23(3A)(g) and 24(2A)(g) of the VEA, which apply to claims or AFIs made on or after 1 July 2017. The </w:t>
      </w:r>
      <w:r w:rsidRPr="00587B14">
        <w:rPr>
          <w:i/>
        </w:rPr>
        <w:t>Veterans’ Affairs Legislation Amendment (Budget Measures) Act</w:t>
      </w:r>
      <w:r>
        <w:rPr>
          <w:rFonts w:ascii="HelveticaNeueLTStd-LtIt" w:hAnsi="HelveticaNeueLTStd-LtIt" w:cs="HelveticaNeueLTStd-LtIt"/>
          <w:i/>
          <w:iCs/>
        </w:rPr>
        <w:t xml:space="preserve"> </w:t>
      </w:r>
      <w:r w:rsidRPr="00587B14">
        <w:rPr>
          <w:i/>
        </w:rPr>
        <w:t>2017</w:t>
      </w:r>
      <w:r>
        <w:t xml:space="preserve"> removes the distinction between a veteran who was working as an employee, or on his or her own account. It also removes the requirement that the veteran worked for the same employer, or in the same field of work.</w:t>
      </w:r>
    </w:p>
    <w:p w:rsidR="002B3081" w:rsidRDefault="00587B14" w:rsidP="00587B14">
      <w:r>
        <w:t xml:space="preserve">In </w:t>
      </w:r>
      <w:r w:rsidRPr="00587B14">
        <w:rPr>
          <w:i/>
        </w:rPr>
        <w:t>Whitehouse</w:t>
      </w:r>
      <w:r>
        <w:t>, the appeal to the Federal Court involved an application for intermediate rate of pension. The applicant unsuccessfully argued that his full-time work should be considered to be his “remunerative work (last paid work)” for the purpose of section 23(3A)(d) of the Act.</w:t>
      </w:r>
    </w:p>
    <w:p w:rsidR="00587B14" w:rsidRDefault="00587B14" w:rsidP="00587B14">
      <w:r>
        <w:lastRenderedPageBreak/>
        <w:t xml:space="preserve">The Court indicated that what section 23(3A)(d) requires is the identification of the particular remunerative work which constituted the applicant’s “last paid work” </w:t>
      </w:r>
      <w:r w:rsidRPr="00587B14">
        <w:rPr>
          <w:i/>
        </w:rPr>
        <w:t>at the time</w:t>
      </w:r>
      <w:r>
        <w:rPr>
          <w:rFonts w:ascii="HelveticaNeueLTStd-LtIt" w:hAnsi="HelveticaNeueLTStd-LtIt" w:cs="HelveticaNeueLTStd-LtIt"/>
          <w:i/>
          <w:iCs/>
        </w:rPr>
        <w:t xml:space="preserve"> </w:t>
      </w:r>
      <w:r>
        <w:t xml:space="preserve">that he made his application for an increased pension rate and then consideration of whether he was prevented from continuing to undertake that work. On the facts found by the AAT, the applicant ceased to be engaged in full-time remunerative work in about June 2012 and at that time he had already turned 65. He then commenced working between four and five hours per day as a consultant solicitor in the same firm. In 2014 when he made his application for an intermediate rate of pension, he was continuing to perform this work as a part-time consultant solicitor. The Court indicated this was the “remunerative work” which he was </w:t>
      </w:r>
      <w:r w:rsidRPr="00587B14">
        <w:rPr>
          <w:i/>
        </w:rPr>
        <w:t>last</w:t>
      </w:r>
      <w:r>
        <w:rPr>
          <w:rFonts w:ascii="TimesNewRomanPS-ItalicMT" w:hAnsi="TimesNewRomanPS-ItalicMT" w:cs="TimesNewRomanPS-ItalicMT"/>
          <w:i/>
          <w:iCs/>
        </w:rPr>
        <w:t xml:space="preserve"> </w:t>
      </w:r>
      <w:r>
        <w:t xml:space="preserve">undertaking and for which he was </w:t>
      </w:r>
      <w:r w:rsidRPr="00587B14">
        <w:rPr>
          <w:i/>
        </w:rPr>
        <w:t>last paid</w:t>
      </w:r>
      <w:r>
        <w:rPr>
          <w:rFonts w:ascii="HelveticaNeueLTStd-LtIt" w:hAnsi="HelveticaNeueLTStd-LtIt" w:cs="HelveticaNeueLTStd-LtIt"/>
          <w:i/>
          <w:iCs/>
        </w:rPr>
        <w:t xml:space="preserve"> </w:t>
      </w:r>
      <w:r>
        <w:t>before he made the application. The applicant continued to perform this particular remunerative work during the whole of the assessment period. Therefore, at no time during that period was Mr Whitehouse prevented, by his war-caused disabilities, from continuing to undertake his last paid remunerative work as a part-time consultant solicitor.</w:t>
      </w:r>
    </w:p>
    <w:p w:rsidR="00587B14" w:rsidRDefault="00587B14" w:rsidP="00587B14">
      <w:r>
        <w:t>In summary, as the applicant, who was over 65, had not stopped undertaking his last paid work he did not meet the criteria in section 23(3A)(d).</w:t>
      </w:r>
    </w:p>
    <w:p w:rsidR="00587B14" w:rsidRDefault="00587B14" w:rsidP="00587B14">
      <w:r>
        <w:t xml:space="preserve">In </w:t>
      </w:r>
      <w:r w:rsidRPr="00587B14">
        <w:rPr>
          <w:i/>
        </w:rPr>
        <w:t>Saltmarsh</w:t>
      </w:r>
      <w:r>
        <w:t xml:space="preserve">, the appeal to the Federal Court involved a disability pension claim for spondylolisthesis L5/S1. The appeal was successful on the point that the AAT failed to address the hypothesis advanced by the applicant concerning inability to obtain appropriate clinical management. Essentially, the AAT failed to correctly identify the hypothesis. Further, the Court considered the AAT failed to have regard to the whole of the material before it. Alternatively, the Court found the AAT engaged in impermissible fact-finding at stage 3 of the </w:t>
      </w:r>
      <w:r w:rsidRPr="00587B14">
        <w:rPr>
          <w:i/>
        </w:rPr>
        <w:t>Deledio</w:t>
      </w:r>
      <w:r>
        <w:rPr>
          <w:rFonts w:ascii="HelveticaNeueLTStd-LtIt" w:hAnsi="HelveticaNeueLTStd-LtIt" w:cs="HelveticaNeueLTStd-LtIt"/>
          <w:i/>
          <w:iCs/>
        </w:rPr>
        <w:t xml:space="preserve"> </w:t>
      </w:r>
      <w:r>
        <w:t>process.</w:t>
      </w:r>
    </w:p>
    <w:p w:rsidR="00587B14" w:rsidRDefault="00587B14" w:rsidP="00587B14">
      <w:r>
        <w:t>While the Court noted the AAT’s reasons</w:t>
      </w:r>
      <w:r w:rsidR="001D1DCA">
        <w:fldChar w:fldCharType="begin"/>
      </w:r>
      <w:r w:rsidR="001D1DCA">
        <w:instrText xml:space="preserve"> XE "</w:instrText>
      </w:r>
      <w:r w:rsidR="001D1DCA" w:rsidRPr="002D7689">
        <w:instrText>reasons</w:instrText>
      </w:r>
      <w:r w:rsidR="001D1DCA">
        <w:instrText xml:space="preserve">" </w:instrText>
      </w:r>
      <w:r w:rsidR="001D1DCA">
        <w:fldChar w:fldCharType="end"/>
      </w:r>
      <w:r>
        <w:t xml:space="preserve"> were not to be approached with an eye closely attuned to the detection of error, the Court could not accept the Commission’s submission that, on a fair reading of the reasons, the AAT addressed the hypothesis Mr Saltmarsh advanced. The AAT’s decision was set aside and remitted for hearing.</w:t>
      </w:r>
    </w:p>
    <w:bookmarkEnd w:id="30"/>
    <w:p w:rsidR="00587B14" w:rsidRDefault="00587B14" w:rsidP="00587B14">
      <w:pPr>
        <w:pStyle w:val="Heading3"/>
      </w:pPr>
      <w:r>
        <w:t>VeRBosity</w:t>
      </w:r>
      <w:r w:rsidR="004A74AE">
        <w:fldChar w:fldCharType="begin"/>
      </w:r>
      <w:r w:rsidR="004A74AE">
        <w:instrText xml:space="preserve"> XE "</w:instrText>
      </w:r>
      <w:r w:rsidR="004A74AE" w:rsidRPr="002D7689">
        <w:instrText>Verbosity</w:instrText>
      </w:r>
      <w:r w:rsidR="004A74AE">
        <w:instrText xml:space="preserve">" </w:instrText>
      </w:r>
      <w:r w:rsidR="004A74AE">
        <w:fldChar w:fldCharType="end"/>
      </w:r>
    </w:p>
    <w:p w:rsidR="00587B14" w:rsidRDefault="00587B14" w:rsidP="00587B14">
      <w:r>
        <w:t>All Court decisions concerning veterans’ entitlements and relevant military rehabilitation</w:t>
      </w:r>
      <w:r w:rsidR="0005789C">
        <w:fldChar w:fldCharType="begin"/>
      </w:r>
      <w:r w:rsidR="0005789C">
        <w:instrText xml:space="preserve"> XE "</w:instrText>
      </w:r>
      <w:r w:rsidR="0005789C" w:rsidRPr="002D7689">
        <w:instrText>rehabilitation</w:instrText>
      </w:r>
      <w:r w:rsidR="0005789C">
        <w:instrText xml:space="preserve">" </w:instrText>
      </w:r>
      <w:r w:rsidR="0005789C">
        <w:fldChar w:fldCharType="end"/>
      </w:r>
      <w:r>
        <w:t xml:space="preserve"> and compensation matters are noted and summarised in the VRB’s publication, </w:t>
      </w:r>
      <w:r w:rsidRPr="00587B14">
        <w:rPr>
          <w:i/>
        </w:rPr>
        <w:t>VeRBosity</w:t>
      </w:r>
      <w:r>
        <w:t>, which is usually published annually. Electronic versions are available at http://www.vrb.gov.au/publications.html</w:t>
      </w:r>
      <w:r w:rsidR="001D1DCA">
        <w:fldChar w:fldCharType="begin"/>
      </w:r>
      <w:r w:rsidR="001D1DCA">
        <w:instrText xml:space="preserve"> XE "</w:instrText>
      </w:r>
      <w:r w:rsidR="001D1DCA" w:rsidRPr="002D7689">
        <w:instrText>publications</w:instrText>
      </w:r>
      <w:r w:rsidR="001D1DCA">
        <w:instrText xml:space="preserve">" </w:instrText>
      </w:r>
      <w:r w:rsidR="001D1DCA">
        <w:fldChar w:fldCharType="end"/>
      </w:r>
      <w:r>
        <w:t>.</w:t>
      </w:r>
    </w:p>
    <w:p w:rsidR="00587B14" w:rsidRDefault="00587B14" w:rsidP="00587B14">
      <w:pPr>
        <w:pStyle w:val="Heading3"/>
      </w:pPr>
      <w:r>
        <w:t>Practice notes</w:t>
      </w:r>
      <w:r w:rsidR="001D1DCA">
        <w:fldChar w:fldCharType="begin"/>
      </w:r>
      <w:r w:rsidR="001D1DCA">
        <w:instrText xml:space="preserve"> XE "</w:instrText>
      </w:r>
      <w:r w:rsidR="001D1DCA" w:rsidRPr="002D7689">
        <w:instrText xml:space="preserve">Practice </w:instrText>
      </w:r>
      <w:r w:rsidR="001D1DCA">
        <w:instrText>N</w:instrText>
      </w:r>
      <w:r w:rsidR="001D1DCA" w:rsidRPr="002D7689">
        <w:instrText>otes</w:instrText>
      </w:r>
      <w:r w:rsidR="001D1DCA">
        <w:instrText xml:space="preserve">" </w:instrText>
      </w:r>
      <w:r w:rsidR="001D1DCA">
        <w:fldChar w:fldCharType="end"/>
      </w:r>
    </w:p>
    <w:p w:rsidR="00587B14" w:rsidRDefault="00587B14" w:rsidP="00587B14">
      <w:r>
        <w:t>The VRB also publishes practice notes in relation to important court decisions, which can be found on the website</w:t>
      </w:r>
      <w:r w:rsidR="00C202FD">
        <w:fldChar w:fldCharType="begin"/>
      </w:r>
      <w:r w:rsidR="00C202FD">
        <w:instrText xml:space="preserve"> XE "</w:instrText>
      </w:r>
      <w:r w:rsidR="00C202FD" w:rsidRPr="003924C2">
        <w:instrText>Internet</w:instrText>
      </w:r>
      <w:r w:rsidR="00C202FD">
        <w:instrText xml:space="preserve">" </w:instrText>
      </w:r>
      <w:r w:rsidR="00C202FD">
        <w:fldChar w:fldCharType="end"/>
      </w:r>
      <w:r>
        <w:t xml:space="preserve"> at: http://www.vrb.gov.au/publications.html#_practice</w:t>
      </w:r>
      <w:bookmarkEnd w:id="31"/>
    </w:p>
    <w:p w:rsidR="00587B14" w:rsidRDefault="00587B14" w:rsidP="00587B14">
      <w:pPr>
        <w:pStyle w:val="Heading1"/>
        <w:pageBreakBefore/>
      </w:pPr>
      <w:bookmarkStart w:id="32" w:name="_Toc532322370"/>
      <w:r>
        <w:lastRenderedPageBreak/>
        <w:t>Appendix 2</w:t>
      </w:r>
      <w:bookmarkEnd w:id="32"/>
    </w:p>
    <w:p w:rsidR="00587B14" w:rsidRDefault="00587B14" w:rsidP="00587B14">
      <w:pPr>
        <w:pStyle w:val="Heading3"/>
      </w:pPr>
      <w:r>
        <w:t>Other Forms of External Scrutiny</w:t>
      </w:r>
    </w:p>
    <w:p w:rsidR="00587B14" w:rsidRDefault="00587B14" w:rsidP="00587B14">
      <w:r>
        <w:t xml:space="preserve">Decisions and actions of the VRB may be the subject of complaints to the Ombudsman. In addition, access to documents held by the VRB may be sought under the </w:t>
      </w:r>
      <w:r w:rsidRPr="00587B14">
        <w:rPr>
          <w:i/>
        </w:rPr>
        <w:t>Freedom of Information Act 1982</w:t>
      </w:r>
      <w:r>
        <w:t>.</w:t>
      </w:r>
    </w:p>
    <w:p w:rsidR="00587B14" w:rsidRDefault="00587B14" w:rsidP="00587B14">
      <w:pPr>
        <w:pStyle w:val="Heading3"/>
      </w:pPr>
      <w:r>
        <w:t>Ombudsman</w:t>
      </w:r>
      <w:r w:rsidR="0018474C">
        <w:fldChar w:fldCharType="begin"/>
      </w:r>
      <w:r w:rsidR="0018474C">
        <w:instrText xml:space="preserve"> XE "</w:instrText>
      </w:r>
      <w:r w:rsidR="0018474C" w:rsidRPr="003924C2">
        <w:instrText>Ombudsman</w:instrText>
      </w:r>
      <w:r w:rsidR="0018474C">
        <w:instrText xml:space="preserve">" </w:instrText>
      </w:r>
      <w:r w:rsidR="0018474C">
        <w:fldChar w:fldCharType="end"/>
      </w:r>
    </w:p>
    <w:p w:rsidR="00587B14" w:rsidRDefault="00587B14" w:rsidP="00587B14">
      <w:r>
        <w:t>During 2017–18 the Ombudsman did not notify the VRB of any complaints.</w:t>
      </w:r>
    </w:p>
    <w:p w:rsidR="00587B14" w:rsidRDefault="00587B14" w:rsidP="00587B14">
      <w:pPr>
        <w:pStyle w:val="Heading3"/>
      </w:pPr>
      <w:r>
        <w:t>Freedom of Information Act 1982</w:t>
      </w:r>
    </w:p>
    <w:p w:rsidR="00587B14" w:rsidRDefault="00587B14" w:rsidP="00587B14">
      <w:r>
        <w:t xml:space="preserve">There were seven requests to the VRB for access to documents under the </w:t>
      </w:r>
      <w:r w:rsidRPr="00587B14">
        <w:rPr>
          <w:i/>
        </w:rPr>
        <w:t>Freedom of Information Act 1982</w:t>
      </w:r>
      <w:r>
        <w:rPr>
          <w:rFonts w:ascii="HelveticaNeueLTStd-LtIt" w:hAnsi="HelveticaNeueLTStd-LtIt" w:cs="HelveticaNeueLTStd-LtIt"/>
          <w:i/>
          <w:iCs/>
        </w:rPr>
        <w:t xml:space="preserve"> </w:t>
      </w:r>
      <w:r>
        <w:t>during 2016–17.</w:t>
      </w:r>
    </w:p>
    <w:p w:rsidR="00587B14" w:rsidRDefault="00587B14" w:rsidP="00587B14">
      <w:pPr>
        <w:pStyle w:val="Heading3"/>
      </w:pPr>
      <w:r>
        <w:t>Privacy</w:t>
      </w:r>
      <w:r w:rsidR="001D1DCA">
        <w:fldChar w:fldCharType="begin"/>
      </w:r>
      <w:r w:rsidR="001D1DCA">
        <w:instrText xml:space="preserve"> XE "</w:instrText>
      </w:r>
      <w:r w:rsidR="001D1DCA" w:rsidRPr="002D7689">
        <w:instrText>privacy</w:instrText>
      </w:r>
      <w:r w:rsidR="001D1DCA">
        <w:instrText xml:space="preserve">" </w:instrText>
      </w:r>
      <w:r w:rsidR="001D1DCA">
        <w:fldChar w:fldCharType="end"/>
      </w:r>
      <w:r>
        <w:t xml:space="preserve"> Commissioner</w:t>
      </w:r>
    </w:p>
    <w:p w:rsidR="00587B14" w:rsidRDefault="00587B14" w:rsidP="00587B14">
      <w:r>
        <w:t xml:space="preserve">The VRB is subject to the </w:t>
      </w:r>
      <w:r w:rsidRPr="00587B14">
        <w:rPr>
          <w:i/>
        </w:rPr>
        <w:t>Privacy Act 1988</w:t>
      </w:r>
      <w:r>
        <w:t>. The VRB continually assesses its compliance with the Information Privacy Principles, which determine the way the VRB deals with personal information.</w:t>
      </w:r>
    </w:p>
    <w:p w:rsidR="00587B14" w:rsidRDefault="00587B14" w:rsidP="00587B14">
      <w:pPr>
        <w:pStyle w:val="Heading3"/>
      </w:pPr>
      <w:r>
        <w:t>Australian Human Rights Commission</w:t>
      </w:r>
    </w:p>
    <w:p w:rsidR="00587B14" w:rsidRDefault="00587B14" w:rsidP="00587B14">
      <w:r>
        <w:t>The VRB is subject to the jurisdiction</w:t>
      </w:r>
      <w:r w:rsidR="00C202FD">
        <w:fldChar w:fldCharType="begin"/>
      </w:r>
      <w:r w:rsidR="00C202FD">
        <w:instrText xml:space="preserve"> XE "</w:instrText>
      </w:r>
      <w:r w:rsidR="00C202FD" w:rsidRPr="003924C2">
        <w:instrText>jurisdiction</w:instrText>
      </w:r>
      <w:r w:rsidR="00C202FD">
        <w:instrText xml:space="preserve">" </w:instrText>
      </w:r>
      <w:r w:rsidR="00C202FD">
        <w:fldChar w:fldCharType="end"/>
      </w:r>
      <w:r>
        <w:t xml:space="preserve"> of the Australian Human Rights Commission. The Commission did not notify the VRB of any complaints during 2017–18.</w:t>
      </w:r>
    </w:p>
    <w:p w:rsidR="00587B14" w:rsidRDefault="00587B14" w:rsidP="00587B14">
      <w:pPr>
        <w:pStyle w:val="Heading3"/>
      </w:pPr>
      <w:r>
        <w:t>Auditor-General</w:t>
      </w:r>
    </w:p>
    <w:p w:rsidR="00587B14" w:rsidRDefault="00587B14" w:rsidP="00587B14">
      <w:r>
        <w:t>During 2017–18 the Auditor-General did not conduct any inquiries or make any reports in relation to the VRB.</w:t>
      </w:r>
    </w:p>
    <w:p w:rsidR="00587B14" w:rsidRDefault="00587B14" w:rsidP="00587B14">
      <w:pPr>
        <w:pStyle w:val="Heading3"/>
      </w:pPr>
      <w:r>
        <w:t>Reports by Parliamentary Committees</w:t>
      </w:r>
    </w:p>
    <w:p w:rsidR="00587B14" w:rsidRDefault="00587B14" w:rsidP="00587B14">
      <w:r>
        <w:t>On 15 August 2017, the Senate Foreign Affairs, Defence and Trade References Committee handed down a report titled “The Constant Battle: Suicide by Veterans” following their inquiry regarding suicide by veterans and ex-service personnel.</w:t>
      </w:r>
    </w:p>
    <w:p w:rsidR="00587B14" w:rsidRDefault="00587B14" w:rsidP="00587B14">
      <w:r>
        <w:t>Chapter 7 contained commentary regarding the VRB. Recommendation 24 called for the Australian Government to establish an independent review concerning the representation of veterans before the Veterans’ Review Board.</w:t>
      </w:r>
    </w:p>
    <w:p w:rsidR="00587B14" w:rsidRDefault="00587B14" w:rsidP="00587B14">
      <w:r>
        <w:t>A link to the report can be found on the Parliament of Australia website at:</w:t>
      </w:r>
    </w:p>
    <w:p w:rsidR="00587B14" w:rsidRDefault="00587B14" w:rsidP="00587B14">
      <w:r>
        <w:t>http://www.aph.gov.au/Parliamentary_Business/Committees/Senate/ Foreign_Affairs_Defence_and_Trade/VeteranSuicide/Report</w:t>
      </w:r>
    </w:p>
    <w:p w:rsidR="00587B14" w:rsidRDefault="00587B14" w:rsidP="00587B14">
      <w:pPr>
        <w:pStyle w:val="Heading1"/>
        <w:pageBreakBefore/>
      </w:pPr>
      <w:bookmarkStart w:id="33" w:name="_Toc532322371"/>
      <w:r>
        <w:lastRenderedPageBreak/>
        <w:t>Appendix 3</w:t>
      </w:r>
      <w:bookmarkEnd w:id="33"/>
    </w:p>
    <w:tbl>
      <w:tblPr>
        <w:tblStyle w:val="TableGrid"/>
        <w:tblW w:w="5000" w:type="pct"/>
        <w:tblBorders>
          <w:top w:val="single" w:sz="4" w:space="0" w:color="A39892"/>
          <w:left w:val="single" w:sz="4" w:space="0" w:color="A39892"/>
          <w:bottom w:val="single" w:sz="4" w:space="0" w:color="A39892"/>
          <w:right w:val="single" w:sz="4" w:space="0" w:color="A39892"/>
          <w:insideH w:val="single" w:sz="4" w:space="0" w:color="A39892"/>
          <w:insideV w:val="single" w:sz="4" w:space="0" w:color="A39892"/>
        </w:tblBorders>
        <w:tblLayout w:type="fixed"/>
        <w:tblCellMar>
          <w:left w:w="115" w:type="dxa"/>
          <w:right w:w="115" w:type="dxa"/>
        </w:tblCellMar>
        <w:tblLook w:val="04A0" w:firstRow="1" w:lastRow="0" w:firstColumn="1" w:lastColumn="0" w:noHBand="0" w:noVBand="1"/>
      </w:tblPr>
      <w:tblGrid>
        <w:gridCol w:w="2185"/>
        <w:gridCol w:w="1080"/>
        <w:gridCol w:w="1350"/>
        <w:gridCol w:w="1350"/>
        <w:gridCol w:w="900"/>
        <w:gridCol w:w="1083"/>
      </w:tblGrid>
      <w:tr w:rsidR="00C4064A" w:rsidRPr="00C4064A" w:rsidTr="00F74F14">
        <w:trPr>
          <w:cantSplit/>
          <w:tblHeader/>
        </w:trPr>
        <w:tc>
          <w:tcPr>
            <w:tcW w:w="2185" w:type="dxa"/>
            <w:shd w:val="clear" w:color="auto" w:fill="C6BDB6"/>
          </w:tcPr>
          <w:p w:rsidR="00EE3DFF" w:rsidRPr="00C4064A" w:rsidRDefault="00EE3DFF" w:rsidP="00EE3DFF">
            <w:pPr>
              <w:pStyle w:val="TableText"/>
              <w:rPr>
                <w:b/>
              </w:rPr>
            </w:pPr>
            <w:r w:rsidRPr="00C4064A">
              <w:rPr>
                <w:b/>
              </w:rPr>
              <w:t>Member</w:t>
            </w:r>
          </w:p>
        </w:tc>
        <w:tc>
          <w:tcPr>
            <w:tcW w:w="1080" w:type="dxa"/>
            <w:shd w:val="clear" w:color="auto" w:fill="C6BDB6"/>
          </w:tcPr>
          <w:p w:rsidR="00EE3DFF" w:rsidRPr="00C4064A" w:rsidRDefault="00EE3DFF" w:rsidP="00EE3DFF">
            <w:pPr>
              <w:pStyle w:val="TableText"/>
              <w:rPr>
                <w:b/>
              </w:rPr>
            </w:pPr>
            <w:r w:rsidRPr="00C4064A">
              <w:rPr>
                <w:b/>
              </w:rPr>
              <w:t>Office</w:t>
            </w:r>
          </w:p>
        </w:tc>
        <w:tc>
          <w:tcPr>
            <w:tcW w:w="1350" w:type="dxa"/>
            <w:shd w:val="clear" w:color="auto" w:fill="C6BDB6"/>
          </w:tcPr>
          <w:p w:rsidR="00EE3DFF" w:rsidRPr="00C4064A" w:rsidRDefault="00EE3DFF" w:rsidP="00EE3DFF">
            <w:pPr>
              <w:pStyle w:val="TableText"/>
              <w:rPr>
                <w:b/>
              </w:rPr>
            </w:pPr>
            <w:r w:rsidRPr="00C4064A">
              <w:rPr>
                <w:b/>
              </w:rPr>
              <w:t>First appointed</w:t>
            </w:r>
          </w:p>
        </w:tc>
        <w:tc>
          <w:tcPr>
            <w:tcW w:w="1350" w:type="dxa"/>
            <w:shd w:val="clear" w:color="auto" w:fill="C6BDB6"/>
          </w:tcPr>
          <w:p w:rsidR="00EE3DFF" w:rsidRPr="00C4064A" w:rsidRDefault="00EE3DFF" w:rsidP="00EE3DFF">
            <w:pPr>
              <w:pStyle w:val="TableText"/>
              <w:rPr>
                <w:b/>
              </w:rPr>
            </w:pPr>
            <w:r w:rsidRPr="00C4064A">
              <w:rPr>
                <w:b/>
              </w:rPr>
              <w:t>Current appointment expires</w:t>
            </w:r>
          </w:p>
        </w:tc>
        <w:tc>
          <w:tcPr>
            <w:tcW w:w="900" w:type="dxa"/>
            <w:shd w:val="clear" w:color="auto" w:fill="C6BDB6"/>
          </w:tcPr>
          <w:p w:rsidR="00EE3DFF" w:rsidRPr="00C4064A" w:rsidRDefault="00EE3DFF" w:rsidP="00EE3DFF">
            <w:pPr>
              <w:pStyle w:val="TableText"/>
              <w:rPr>
                <w:b/>
              </w:rPr>
            </w:pPr>
            <w:r w:rsidRPr="00C4064A">
              <w:rPr>
                <w:b/>
              </w:rPr>
              <w:t>Gender</w:t>
            </w:r>
          </w:p>
        </w:tc>
        <w:tc>
          <w:tcPr>
            <w:tcW w:w="1083" w:type="dxa"/>
            <w:shd w:val="clear" w:color="auto" w:fill="C6BDB6"/>
          </w:tcPr>
          <w:p w:rsidR="00EE3DFF" w:rsidRPr="00C4064A" w:rsidRDefault="00EE3DFF" w:rsidP="00EE3DFF">
            <w:pPr>
              <w:pStyle w:val="TableText"/>
              <w:rPr>
                <w:b/>
              </w:rPr>
            </w:pPr>
            <w:r w:rsidRPr="00C4064A">
              <w:rPr>
                <w:b/>
              </w:rPr>
              <w:t>Location</w:t>
            </w:r>
          </w:p>
        </w:tc>
      </w:tr>
      <w:tr w:rsidR="00EE3DFF" w:rsidTr="00C4064A">
        <w:trPr>
          <w:cantSplit/>
        </w:trPr>
        <w:tc>
          <w:tcPr>
            <w:tcW w:w="2185" w:type="dxa"/>
          </w:tcPr>
          <w:p w:rsidR="00EE3DFF" w:rsidRDefault="00EE3DFF" w:rsidP="00EE3DFF">
            <w:pPr>
              <w:pStyle w:val="TableText"/>
            </w:pPr>
            <w:r>
              <w:t>Ms Jane Anderson</w:t>
            </w:r>
          </w:p>
        </w:tc>
        <w:tc>
          <w:tcPr>
            <w:tcW w:w="1080" w:type="dxa"/>
          </w:tcPr>
          <w:p w:rsidR="00EE3DFF" w:rsidRDefault="00EE3DFF" w:rsidP="00EE3DFF">
            <w:pPr>
              <w:pStyle w:val="TableText"/>
            </w:pPr>
            <w:r>
              <w:t>Principal Member</w:t>
            </w:r>
          </w:p>
        </w:tc>
        <w:tc>
          <w:tcPr>
            <w:tcW w:w="1350" w:type="dxa"/>
          </w:tcPr>
          <w:p w:rsidR="00EE3DFF" w:rsidRDefault="00EE3DFF" w:rsidP="00EE3DFF">
            <w:pPr>
              <w:pStyle w:val="TableText"/>
            </w:pPr>
            <w:r>
              <w:t>31 Jan 2018</w:t>
            </w:r>
          </w:p>
        </w:tc>
        <w:tc>
          <w:tcPr>
            <w:tcW w:w="1350" w:type="dxa"/>
          </w:tcPr>
          <w:p w:rsidR="00EE3DFF" w:rsidRDefault="00EE3DFF" w:rsidP="00EE3DFF">
            <w:pPr>
              <w:pStyle w:val="TableText"/>
            </w:pPr>
            <w:r>
              <w:t>31 Jan 2023</w:t>
            </w:r>
          </w:p>
        </w:tc>
        <w:tc>
          <w:tcPr>
            <w:tcW w:w="900" w:type="dxa"/>
          </w:tcPr>
          <w:p w:rsidR="00EE3DFF" w:rsidRDefault="00EE3DFF" w:rsidP="00EE3DFF">
            <w:pPr>
              <w:pStyle w:val="TableText"/>
            </w:pPr>
            <w:r>
              <w:t>F</w:t>
            </w:r>
          </w:p>
        </w:tc>
        <w:tc>
          <w:tcPr>
            <w:tcW w:w="1083" w:type="dxa"/>
          </w:tcPr>
          <w:p w:rsidR="00EE3DFF" w:rsidRDefault="00EE3DFF" w:rsidP="00EE3DFF">
            <w:pPr>
              <w:pStyle w:val="TableText"/>
            </w:pPr>
            <w:r>
              <w:t>NSW</w:t>
            </w:r>
          </w:p>
        </w:tc>
      </w:tr>
      <w:tr w:rsidR="00EE3DFF" w:rsidTr="00C4064A">
        <w:trPr>
          <w:cantSplit/>
        </w:trPr>
        <w:tc>
          <w:tcPr>
            <w:tcW w:w="2185" w:type="dxa"/>
          </w:tcPr>
          <w:p w:rsidR="00EE3DFF" w:rsidRDefault="00EE3DFF" w:rsidP="00EE3DFF">
            <w:pPr>
              <w:pStyle w:val="TableText"/>
            </w:pPr>
            <w:r>
              <w:t>Commander Gary Barrow</w:t>
            </w:r>
          </w:p>
        </w:tc>
        <w:tc>
          <w:tcPr>
            <w:tcW w:w="1080" w:type="dxa"/>
          </w:tcPr>
          <w:p w:rsidR="00EE3DFF" w:rsidRDefault="00EE3DFF" w:rsidP="00EE3DFF">
            <w:pPr>
              <w:pStyle w:val="TableText"/>
            </w:pPr>
            <w:r>
              <w:t>P/T Senior Member</w:t>
            </w:r>
          </w:p>
        </w:tc>
        <w:tc>
          <w:tcPr>
            <w:tcW w:w="1350" w:type="dxa"/>
          </w:tcPr>
          <w:p w:rsidR="00EE3DFF" w:rsidRDefault="00EE3DFF" w:rsidP="00EE3DFF">
            <w:pPr>
              <w:pStyle w:val="TableText"/>
            </w:pPr>
            <w:r>
              <w:t>1 Oct 2007</w:t>
            </w:r>
          </w:p>
        </w:tc>
        <w:tc>
          <w:tcPr>
            <w:tcW w:w="1350" w:type="dxa"/>
          </w:tcPr>
          <w:p w:rsidR="00EE3DFF" w:rsidRDefault="00EE3DFF" w:rsidP="00EE3DFF">
            <w:pPr>
              <w:pStyle w:val="TableText"/>
            </w:pPr>
            <w:r>
              <w:t>30 Sep 2018</w:t>
            </w:r>
          </w:p>
        </w:tc>
        <w:tc>
          <w:tcPr>
            <w:tcW w:w="900" w:type="dxa"/>
          </w:tcPr>
          <w:p w:rsidR="00EE3DFF" w:rsidRDefault="00EE3DFF" w:rsidP="00EE3DFF">
            <w:pPr>
              <w:pStyle w:val="TableText"/>
            </w:pPr>
            <w:r>
              <w:t>M</w:t>
            </w:r>
          </w:p>
        </w:tc>
        <w:tc>
          <w:tcPr>
            <w:tcW w:w="1083" w:type="dxa"/>
          </w:tcPr>
          <w:p w:rsidR="00EE3DFF" w:rsidRDefault="00EE3DFF" w:rsidP="00EE3DFF">
            <w:pPr>
              <w:pStyle w:val="TableText"/>
            </w:pPr>
            <w:r>
              <w:t>WA</w:t>
            </w:r>
          </w:p>
        </w:tc>
      </w:tr>
      <w:tr w:rsidR="00EE3DFF" w:rsidTr="00C4064A">
        <w:trPr>
          <w:cantSplit/>
        </w:trPr>
        <w:tc>
          <w:tcPr>
            <w:tcW w:w="2185" w:type="dxa"/>
          </w:tcPr>
          <w:p w:rsidR="00EE3DFF" w:rsidRDefault="00EE3DFF" w:rsidP="00EE3DFF">
            <w:pPr>
              <w:pStyle w:val="TableText"/>
            </w:pPr>
            <w:r>
              <w:t>Ms Robyn Bailey</w:t>
            </w:r>
          </w:p>
        </w:tc>
        <w:tc>
          <w:tcPr>
            <w:tcW w:w="1080" w:type="dxa"/>
          </w:tcPr>
          <w:p w:rsidR="00EE3DFF" w:rsidRDefault="00EE3DFF" w:rsidP="00EE3DFF">
            <w:pPr>
              <w:pStyle w:val="TableText"/>
            </w:pPr>
            <w:r>
              <w:t>P/T Senior Member</w:t>
            </w:r>
          </w:p>
        </w:tc>
        <w:tc>
          <w:tcPr>
            <w:tcW w:w="1350" w:type="dxa"/>
          </w:tcPr>
          <w:p w:rsidR="00EE3DFF" w:rsidRDefault="00EE3DFF" w:rsidP="00EE3DFF">
            <w:pPr>
              <w:pStyle w:val="TableText"/>
            </w:pPr>
            <w:r>
              <w:t>12 Nov 2015</w:t>
            </w:r>
          </w:p>
        </w:tc>
        <w:tc>
          <w:tcPr>
            <w:tcW w:w="1350" w:type="dxa"/>
          </w:tcPr>
          <w:p w:rsidR="00EE3DFF" w:rsidRDefault="00EE3DFF" w:rsidP="00EE3DFF">
            <w:pPr>
              <w:pStyle w:val="TableText"/>
            </w:pPr>
            <w:r>
              <w:t>11 Nov 2020</w:t>
            </w:r>
          </w:p>
        </w:tc>
        <w:tc>
          <w:tcPr>
            <w:tcW w:w="900" w:type="dxa"/>
          </w:tcPr>
          <w:p w:rsidR="00EE3DFF" w:rsidRDefault="00EE3DFF" w:rsidP="00EE3DFF">
            <w:pPr>
              <w:pStyle w:val="TableText"/>
            </w:pPr>
            <w:r>
              <w:t>F</w:t>
            </w:r>
          </w:p>
        </w:tc>
        <w:tc>
          <w:tcPr>
            <w:tcW w:w="1083" w:type="dxa"/>
          </w:tcPr>
          <w:p w:rsidR="00EE3DFF" w:rsidRDefault="00EE3DFF" w:rsidP="00EE3DFF">
            <w:pPr>
              <w:pStyle w:val="TableText"/>
            </w:pPr>
            <w:r>
              <w:t>NSW</w:t>
            </w:r>
          </w:p>
        </w:tc>
      </w:tr>
      <w:tr w:rsidR="00EE3DFF" w:rsidTr="00C4064A">
        <w:trPr>
          <w:cantSplit/>
        </w:trPr>
        <w:tc>
          <w:tcPr>
            <w:tcW w:w="2185" w:type="dxa"/>
          </w:tcPr>
          <w:p w:rsidR="00EE3DFF" w:rsidRDefault="00EE3DFF" w:rsidP="00EE3DFF">
            <w:pPr>
              <w:pStyle w:val="TableText"/>
            </w:pPr>
            <w:r>
              <w:t>Ms Alison Colvin</w:t>
            </w:r>
          </w:p>
        </w:tc>
        <w:tc>
          <w:tcPr>
            <w:tcW w:w="1080" w:type="dxa"/>
          </w:tcPr>
          <w:p w:rsidR="00EE3DFF" w:rsidRDefault="00EE3DFF" w:rsidP="00EE3DFF">
            <w:pPr>
              <w:pStyle w:val="TableText"/>
            </w:pPr>
            <w:r>
              <w:t>P/T Senior Member</w:t>
            </w:r>
          </w:p>
        </w:tc>
        <w:tc>
          <w:tcPr>
            <w:tcW w:w="1350" w:type="dxa"/>
          </w:tcPr>
          <w:p w:rsidR="00EE3DFF" w:rsidRDefault="007A16A3" w:rsidP="00EE3DFF">
            <w:pPr>
              <w:pStyle w:val="TableText"/>
            </w:pPr>
            <w:r>
              <w:t>1 Jan 2011</w:t>
            </w:r>
          </w:p>
        </w:tc>
        <w:tc>
          <w:tcPr>
            <w:tcW w:w="1350" w:type="dxa"/>
          </w:tcPr>
          <w:p w:rsidR="00EE3DFF" w:rsidRDefault="007A16A3" w:rsidP="00EE3DFF">
            <w:pPr>
              <w:pStyle w:val="TableText"/>
            </w:pPr>
            <w:r>
              <w:t>30 Sep 2018</w:t>
            </w:r>
          </w:p>
        </w:tc>
        <w:tc>
          <w:tcPr>
            <w:tcW w:w="900" w:type="dxa"/>
          </w:tcPr>
          <w:p w:rsidR="00EE3DFF" w:rsidRDefault="007A16A3" w:rsidP="00EE3DFF">
            <w:pPr>
              <w:pStyle w:val="TableText"/>
            </w:pPr>
            <w:r>
              <w:t>F</w:t>
            </w:r>
          </w:p>
        </w:tc>
        <w:tc>
          <w:tcPr>
            <w:tcW w:w="1083" w:type="dxa"/>
          </w:tcPr>
          <w:p w:rsidR="00EE3DFF" w:rsidRDefault="007A16A3" w:rsidP="00EE3DFF">
            <w:pPr>
              <w:pStyle w:val="TableText"/>
            </w:pPr>
            <w:r>
              <w:t>QLD</w:t>
            </w:r>
          </w:p>
        </w:tc>
      </w:tr>
      <w:tr w:rsidR="007A16A3" w:rsidTr="00C4064A">
        <w:trPr>
          <w:cantSplit/>
        </w:trPr>
        <w:tc>
          <w:tcPr>
            <w:tcW w:w="2185" w:type="dxa"/>
          </w:tcPr>
          <w:p w:rsidR="007A16A3" w:rsidRDefault="007A16A3" w:rsidP="00EE3DFF">
            <w:pPr>
              <w:pStyle w:val="TableText"/>
            </w:pPr>
            <w:r>
              <w:t>Ms Jennifer D’Arcy</w:t>
            </w:r>
          </w:p>
        </w:tc>
        <w:tc>
          <w:tcPr>
            <w:tcW w:w="1080" w:type="dxa"/>
          </w:tcPr>
          <w:p w:rsidR="007A16A3" w:rsidRDefault="007A16A3" w:rsidP="00EE3DFF">
            <w:pPr>
              <w:pStyle w:val="TableText"/>
            </w:pPr>
            <w:r>
              <w:t>P/T Senior Member</w:t>
            </w:r>
          </w:p>
        </w:tc>
        <w:tc>
          <w:tcPr>
            <w:tcW w:w="1350" w:type="dxa"/>
          </w:tcPr>
          <w:p w:rsidR="007A16A3" w:rsidRDefault="007A16A3" w:rsidP="00EE3DFF">
            <w:pPr>
              <w:pStyle w:val="TableText"/>
            </w:pPr>
            <w:r>
              <w:t>1 Jun 2001</w:t>
            </w:r>
          </w:p>
        </w:tc>
        <w:tc>
          <w:tcPr>
            <w:tcW w:w="1350" w:type="dxa"/>
          </w:tcPr>
          <w:p w:rsidR="007A16A3" w:rsidRDefault="007A16A3" w:rsidP="00EE3DFF">
            <w:pPr>
              <w:pStyle w:val="TableText"/>
            </w:pPr>
            <w:r>
              <w:t>30 Sep 2018</w:t>
            </w:r>
          </w:p>
        </w:tc>
        <w:tc>
          <w:tcPr>
            <w:tcW w:w="900" w:type="dxa"/>
          </w:tcPr>
          <w:p w:rsidR="007A16A3" w:rsidRDefault="007A16A3" w:rsidP="00EE3DFF">
            <w:pPr>
              <w:pStyle w:val="TableText"/>
            </w:pPr>
            <w:r>
              <w:t>F</w:t>
            </w:r>
          </w:p>
        </w:tc>
        <w:tc>
          <w:tcPr>
            <w:tcW w:w="1083" w:type="dxa"/>
          </w:tcPr>
          <w:p w:rsidR="007A16A3" w:rsidRDefault="007A16A3" w:rsidP="00EE3DFF">
            <w:pPr>
              <w:pStyle w:val="TableText"/>
            </w:pPr>
            <w:r>
              <w:t>NSW</w:t>
            </w:r>
          </w:p>
        </w:tc>
      </w:tr>
      <w:tr w:rsidR="007A16A3" w:rsidTr="00C4064A">
        <w:trPr>
          <w:cantSplit/>
        </w:trPr>
        <w:tc>
          <w:tcPr>
            <w:tcW w:w="2185" w:type="dxa"/>
          </w:tcPr>
          <w:p w:rsidR="007A16A3" w:rsidRDefault="007A16A3" w:rsidP="00EE3DFF">
            <w:pPr>
              <w:pStyle w:val="TableText"/>
            </w:pPr>
            <w:r>
              <w:t>Mr Robert Douglass</w:t>
            </w:r>
          </w:p>
        </w:tc>
        <w:tc>
          <w:tcPr>
            <w:tcW w:w="1080" w:type="dxa"/>
          </w:tcPr>
          <w:p w:rsidR="007A16A3" w:rsidRDefault="007A16A3" w:rsidP="00EE3DFF">
            <w:pPr>
              <w:pStyle w:val="TableText"/>
            </w:pPr>
            <w:r>
              <w:t>P/T Senior Member</w:t>
            </w:r>
          </w:p>
        </w:tc>
        <w:tc>
          <w:tcPr>
            <w:tcW w:w="1350" w:type="dxa"/>
          </w:tcPr>
          <w:p w:rsidR="007A16A3" w:rsidRDefault="007A16A3" w:rsidP="00EE3DFF">
            <w:pPr>
              <w:pStyle w:val="TableText"/>
            </w:pPr>
            <w:r>
              <w:t>4 Aug 2014</w:t>
            </w:r>
          </w:p>
        </w:tc>
        <w:tc>
          <w:tcPr>
            <w:tcW w:w="1350" w:type="dxa"/>
          </w:tcPr>
          <w:p w:rsidR="007A16A3" w:rsidRDefault="007A16A3" w:rsidP="00EE3DFF">
            <w:pPr>
              <w:pStyle w:val="TableText"/>
            </w:pPr>
            <w:r>
              <w:t>11 Nov 2020</w:t>
            </w:r>
          </w:p>
        </w:tc>
        <w:tc>
          <w:tcPr>
            <w:tcW w:w="900" w:type="dxa"/>
          </w:tcPr>
          <w:p w:rsidR="007A16A3" w:rsidRDefault="007A16A3" w:rsidP="00EE3DFF">
            <w:pPr>
              <w:pStyle w:val="TableText"/>
            </w:pPr>
            <w:r>
              <w:t>M</w:t>
            </w:r>
          </w:p>
        </w:tc>
        <w:tc>
          <w:tcPr>
            <w:tcW w:w="1083" w:type="dxa"/>
          </w:tcPr>
          <w:p w:rsidR="007A16A3" w:rsidRDefault="007A16A3" w:rsidP="00EE3DFF">
            <w:pPr>
              <w:pStyle w:val="TableText"/>
            </w:pPr>
            <w:r>
              <w:t>VIC</w:t>
            </w:r>
          </w:p>
        </w:tc>
      </w:tr>
      <w:tr w:rsidR="007A16A3" w:rsidTr="00C4064A">
        <w:trPr>
          <w:cantSplit/>
        </w:trPr>
        <w:tc>
          <w:tcPr>
            <w:tcW w:w="2185" w:type="dxa"/>
          </w:tcPr>
          <w:p w:rsidR="007A16A3" w:rsidRDefault="007A16A3" w:rsidP="00EE3DFF">
            <w:pPr>
              <w:pStyle w:val="TableText"/>
            </w:pPr>
            <w:r>
              <w:t>Ms Hilary Kramer</w:t>
            </w:r>
          </w:p>
        </w:tc>
        <w:tc>
          <w:tcPr>
            <w:tcW w:w="1080" w:type="dxa"/>
          </w:tcPr>
          <w:p w:rsidR="007A16A3" w:rsidRDefault="007A16A3" w:rsidP="00EE3DFF">
            <w:pPr>
              <w:pStyle w:val="TableText"/>
            </w:pPr>
            <w:r>
              <w:t>P/T Senior Member</w:t>
            </w:r>
          </w:p>
        </w:tc>
        <w:tc>
          <w:tcPr>
            <w:tcW w:w="1350" w:type="dxa"/>
          </w:tcPr>
          <w:p w:rsidR="007A16A3" w:rsidRDefault="007A16A3" w:rsidP="00EE3DFF">
            <w:pPr>
              <w:pStyle w:val="TableText"/>
            </w:pPr>
            <w:r>
              <w:t>30 Jul 1998</w:t>
            </w:r>
          </w:p>
        </w:tc>
        <w:tc>
          <w:tcPr>
            <w:tcW w:w="1350" w:type="dxa"/>
          </w:tcPr>
          <w:p w:rsidR="007A16A3" w:rsidRDefault="007A16A3" w:rsidP="00EE3DFF">
            <w:pPr>
              <w:pStyle w:val="TableText"/>
            </w:pPr>
            <w:r>
              <w:t>30 Sep 2018</w:t>
            </w:r>
          </w:p>
        </w:tc>
        <w:tc>
          <w:tcPr>
            <w:tcW w:w="900" w:type="dxa"/>
          </w:tcPr>
          <w:p w:rsidR="007A16A3" w:rsidRDefault="007A16A3" w:rsidP="00EE3DFF">
            <w:pPr>
              <w:pStyle w:val="TableText"/>
            </w:pPr>
            <w:r>
              <w:t>F</w:t>
            </w:r>
          </w:p>
        </w:tc>
        <w:tc>
          <w:tcPr>
            <w:tcW w:w="1083" w:type="dxa"/>
          </w:tcPr>
          <w:p w:rsidR="007A16A3" w:rsidRDefault="007A16A3" w:rsidP="00EE3DFF">
            <w:pPr>
              <w:pStyle w:val="TableText"/>
            </w:pPr>
            <w:r>
              <w:t>NSW</w:t>
            </w:r>
          </w:p>
        </w:tc>
      </w:tr>
      <w:tr w:rsidR="007A16A3" w:rsidTr="00C4064A">
        <w:trPr>
          <w:cantSplit/>
        </w:trPr>
        <w:tc>
          <w:tcPr>
            <w:tcW w:w="2185" w:type="dxa"/>
          </w:tcPr>
          <w:p w:rsidR="007A16A3" w:rsidRDefault="007A16A3" w:rsidP="00EE3DFF">
            <w:pPr>
              <w:pStyle w:val="TableText"/>
            </w:pPr>
            <w:r>
              <w:t>Ms June McPhie</w:t>
            </w:r>
          </w:p>
        </w:tc>
        <w:tc>
          <w:tcPr>
            <w:tcW w:w="1080" w:type="dxa"/>
          </w:tcPr>
          <w:p w:rsidR="007A16A3" w:rsidRDefault="007A16A3" w:rsidP="00EE3DFF">
            <w:pPr>
              <w:pStyle w:val="TableText"/>
            </w:pPr>
            <w:r>
              <w:t>P/T Senior Member</w:t>
            </w:r>
          </w:p>
        </w:tc>
        <w:tc>
          <w:tcPr>
            <w:tcW w:w="1350" w:type="dxa"/>
          </w:tcPr>
          <w:p w:rsidR="007A16A3" w:rsidRDefault="007A16A3" w:rsidP="00EE3DFF">
            <w:pPr>
              <w:pStyle w:val="TableText"/>
            </w:pPr>
            <w:r>
              <w:t>12 Nov 2015</w:t>
            </w:r>
          </w:p>
        </w:tc>
        <w:tc>
          <w:tcPr>
            <w:tcW w:w="1350" w:type="dxa"/>
          </w:tcPr>
          <w:p w:rsidR="007A16A3" w:rsidRDefault="007A16A3" w:rsidP="00EE3DFF">
            <w:pPr>
              <w:pStyle w:val="TableText"/>
            </w:pPr>
            <w:r>
              <w:t>11 Nov 2020</w:t>
            </w:r>
          </w:p>
        </w:tc>
        <w:tc>
          <w:tcPr>
            <w:tcW w:w="900" w:type="dxa"/>
          </w:tcPr>
          <w:p w:rsidR="007A16A3" w:rsidRDefault="007A16A3" w:rsidP="00EE3DFF">
            <w:pPr>
              <w:pStyle w:val="TableText"/>
            </w:pPr>
            <w:r>
              <w:t>F</w:t>
            </w:r>
          </w:p>
        </w:tc>
        <w:tc>
          <w:tcPr>
            <w:tcW w:w="1083" w:type="dxa"/>
          </w:tcPr>
          <w:p w:rsidR="007A16A3" w:rsidRDefault="007A16A3" w:rsidP="00EE3DFF">
            <w:pPr>
              <w:pStyle w:val="TableText"/>
            </w:pPr>
            <w:r>
              <w:t>ACT</w:t>
            </w:r>
          </w:p>
        </w:tc>
      </w:tr>
      <w:tr w:rsidR="007A16A3" w:rsidTr="00C4064A">
        <w:trPr>
          <w:cantSplit/>
        </w:trPr>
        <w:tc>
          <w:tcPr>
            <w:tcW w:w="2185" w:type="dxa"/>
          </w:tcPr>
          <w:p w:rsidR="007A16A3" w:rsidRDefault="00F74F14" w:rsidP="00EE3DFF">
            <w:pPr>
              <w:pStyle w:val="TableText"/>
            </w:pPr>
            <w:r>
              <w:t>Ms Jillian Moir</w:t>
            </w:r>
          </w:p>
        </w:tc>
        <w:tc>
          <w:tcPr>
            <w:tcW w:w="1080" w:type="dxa"/>
          </w:tcPr>
          <w:p w:rsidR="007A16A3" w:rsidRDefault="00F74F14" w:rsidP="00EE3DFF">
            <w:pPr>
              <w:pStyle w:val="TableText"/>
            </w:pPr>
            <w:r>
              <w:t>P/T Senior Member</w:t>
            </w:r>
          </w:p>
        </w:tc>
        <w:tc>
          <w:tcPr>
            <w:tcW w:w="1350" w:type="dxa"/>
          </w:tcPr>
          <w:p w:rsidR="007A16A3" w:rsidRDefault="00F74F14" w:rsidP="00EE3DFF">
            <w:pPr>
              <w:pStyle w:val="TableText"/>
            </w:pPr>
            <w:r>
              <w:t>1 Jan 2011</w:t>
            </w:r>
          </w:p>
        </w:tc>
        <w:tc>
          <w:tcPr>
            <w:tcW w:w="1350" w:type="dxa"/>
          </w:tcPr>
          <w:p w:rsidR="007A16A3" w:rsidRDefault="00F74F14" w:rsidP="00EE3DFF">
            <w:pPr>
              <w:pStyle w:val="TableText"/>
            </w:pPr>
            <w:r>
              <w:t>11 Nov 2020</w:t>
            </w:r>
          </w:p>
        </w:tc>
        <w:tc>
          <w:tcPr>
            <w:tcW w:w="900" w:type="dxa"/>
          </w:tcPr>
          <w:p w:rsidR="007A16A3" w:rsidRDefault="00F74F14" w:rsidP="00EE3DFF">
            <w:pPr>
              <w:pStyle w:val="TableText"/>
            </w:pPr>
            <w:r>
              <w:t>F</w:t>
            </w:r>
          </w:p>
        </w:tc>
        <w:tc>
          <w:tcPr>
            <w:tcW w:w="1083" w:type="dxa"/>
          </w:tcPr>
          <w:p w:rsidR="007A16A3" w:rsidRDefault="00F74F14" w:rsidP="00EE3DFF">
            <w:pPr>
              <w:pStyle w:val="TableText"/>
            </w:pPr>
            <w:r>
              <w:t>NSW</w:t>
            </w:r>
          </w:p>
        </w:tc>
      </w:tr>
      <w:tr w:rsidR="00F74F14" w:rsidTr="00C4064A">
        <w:trPr>
          <w:cantSplit/>
        </w:trPr>
        <w:tc>
          <w:tcPr>
            <w:tcW w:w="2185" w:type="dxa"/>
          </w:tcPr>
          <w:p w:rsidR="00F74F14" w:rsidRDefault="00F74F14" w:rsidP="00EE3DFF">
            <w:pPr>
              <w:pStyle w:val="TableText"/>
            </w:pPr>
            <w:r>
              <w:t>Ms Tammy Williams</w:t>
            </w:r>
          </w:p>
        </w:tc>
        <w:tc>
          <w:tcPr>
            <w:tcW w:w="1080" w:type="dxa"/>
          </w:tcPr>
          <w:p w:rsidR="00F74F14" w:rsidRDefault="00F74F14" w:rsidP="00EE3DFF">
            <w:pPr>
              <w:pStyle w:val="TableText"/>
            </w:pPr>
            <w:r>
              <w:t>P/T Senior Member</w:t>
            </w:r>
          </w:p>
        </w:tc>
        <w:tc>
          <w:tcPr>
            <w:tcW w:w="1350" w:type="dxa"/>
          </w:tcPr>
          <w:p w:rsidR="00F74F14" w:rsidRDefault="00F74F14" w:rsidP="00EE3DFF">
            <w:pPr>
              <w:pStyle w:val="TableText"/>
            </w:pPr>
            <w:r>
              <w:t>12 Nov 2015</w:t>
            </w:r>
          </w:p>
        </w:tc>
        <w:tc>
          <w:tcPr>
            <w:tcW w:w="1350" w:type="dxa"/>
          </w:tcPr>
          <w:p w:rsidR="00F74F14" w:rsidRDefault="00F74F14" w:rsidP="00EE3DFF">
            <w:pPr>
              <w:pStyle w:val="TableText"/>
            </w:pPr>
            <w:r>
              <w:t>11 Nov 2020</w:t>
            </w:r>
          </w:p>
        </w:tc>
        <w:tc>
          <w:tcPr>
            <w:tcW w:w="900" w:type="dxa"/>
          </w:tcPr>
          <w:p w:rsidR="00F74F14" w:rsidRDefault="00F74F14" w:rsidP="00EE3DFF">
            <w:pPr>
              <w:pStyle w:val="TableText"/>
            </w:pPr>
            <w:r>
              <w:t>M</w:t>
            </w:r>
          </w:p>
        </w:tc>
        <w:tc>
          <w:tcPr>
            <w:tcW w:w="1083" w:type="dxa"/>
          </w:tcPr>
          <w:p w:rsidR="00F74F14" w:rsidRDefault="00F74F14" w:rsidP="00EE3DFF">
            <w:pPr>
              <w:pStyle w:val="TableText"/>
            </w:pPr>
            <w:r>
              <w:t>QLD</w:t>
            </w:r>
          </w:p>
        </w:tc>
      </w:tr>
      <w:tr w:rsidR="00F74F14" w:rsidTr="00C4064A">
        <w:trPr>
          <w:cantSplit/>
        </w:trPr>
        <w:tc>
          <w:tcPr>
            <w:tcW w:w="2185" w:type="dxa"/>
          </w:tcPr>
          <w:p w:rsidR="00F74F14" w:rsidRDefault="00F74F14" w:rsidP="00EE3DFF">
            <w:pPr>
              <w:pStyle w:val="TableText"/>
            </w:pPr>
            <w:r>
              <w:t>Mr Christopher Wray</w:t>
            </w:r>
          </w:p>
        </w:tc>
        <w:tc>
          <w:tcPr>
            <w:tcW w:w="1080" w:type="dxa"/>
          </w:tcPr>
          <w:p w:rsidR="00F74F14" w:rsidRDefault="00F74F14" w:rsidP="00EE3DFF">
            <w:pPr>
              <w:pStyle w:val="TableText"/>
            </w:pPr>
            <w:r>
              <w:t>P/T Senior Member</w:t>
            </w:r>
          </w:p>
        </w:tc>
        <w:tc>
          <w:tcPr>
            <w:tcW w:w="1350" w:type="dxa"/>
          </w:tcPr>
          <w:p w:rsidR="00F74F14" w:rsidRDefault="00F74F14" w:rsidP="00EE3DFF">
            <w:pPr>
              <w:pStyle w:val="TableText"/>
            </w:pPr>
            <w:r>
              <w:t>1 Oct 2006</w:t>
            </w:r>
          </w:p>
        </w:tc>
        <w:tc>
          <w:tcPr>
            <w:tcW w:w="1350" w:type="dxa"/>
          </w:tcPr>
          <w:p w:rsidR="00F74F14" w:rsidRDefault="00F74F14" w:rsidP="00EE3DFF">
            <w:pPr>
              <w:pStyle w:val="TableText"/>
            </w:pPr>
            <w:r>
              <w:t>30 Sep 2018</w:t>
            </w:r>
          </w:p>
        </w:tc>
        <w:tc>
          <w:tcPr>
            <w:tcW w:w="900" w:type="dxa"/>
          </w:tcPr>
          <w:p w:rsidR="00F74F14" w:rsidRDefault="00F74F14" w:rsidP="00EE3DFF">
            <w:pPr>
              <w:pStyle w:val="TableText"/>
            </w:pPr>
            <w:r>
              <w:t>M</w:t>
            </w:r>
          </w:p>
        </w:tc>
        <w:tc>
          <w:tcPr>
            <w:tcW w:w="1083" w:type="dxa"/>
          </w:tcPr>
          <w:p w:rsidR="00F74F14" w:rsidRDefault="00F74F14" w:rsidP="00EE3DFF">
            <w:pPr>
              <w:pStyle w:val="TableText"/>
            </w:pPr>
            <w:r>
              <w:t>VIC</w:t>
            </w:r>
          </w:p>
        </w:tc>
      </w:tr>
      <w:tr w:rsidR="00F74F14" w:rsidTr="00C4064A">
        <w:trPr>
          <w:cantSplit/>
        </w:trPr>
        <w:tc>
          <w:tcPr>
            <w:tcW w:w="2185" w:type="dxa"/>
          </w:tcPr>
          <w:p w:rsidR="00F74F14" w:rsidRDefault="00F74F14" w:rsidP="00EE3DFF">
            <w:pPr>
              <w:pStyle w:val="TableText"/>
            </w:pPr>
            <w:r>
              <w:t>Colonel Leslie Young OAM (Retd)</w:t>
            </w:r>
          </w:p>
        </w:tc>
        <w:tc>
          <w:tcPr>
            <w:tcW w:w="1080" w:type="dxa"/>
          </w:tcPr>
          <w:p w:rsidR="00F74F14" w:rsidRDefault="00F74F14" w:rsidP="00EE3DFF">
            <w:pPr>
              <w:pStyle w:val="TableText"/>
            </w:pPr>
            <w:r>
              <w:t>P/T Senior Member</w:t>
            </w:r>
          </w:p>
        </w:tc>
        <w:tc>
          <w:tcPr>
            <w:tcW w:w="1350" w:type="dxa"/>
          </w:tcPr>
          <w:p w:rsidR="00F74F14" w:rsidRDefault="00F74F14" w:rsidP="00EE3DFF">
            <w:pPr>
              <w:pStyle w:val="TableText"/>
            </w:pPr>
            <w:r>
              <w:t>1 Oct 1997</w:t>
            </w:r>
          </w:p>
        </w:tc>
        <w:tc>
          <w:tcPr>
            <w:tcW w:w="1350" w:type="dxa"/>
          </w:tcPr>
          <w:p w:rsidR="00F74F14" w:rsidRDefault="00F74F14" w:rsidP="00EE3DFF">
            <w:pPr>
              <w:pStyle w:val="TableText"/>
            </w:pPr>
            <w:r>
              <w:t>30 Sep 2018</w:t>
            </w:r>
          </w:p>
        </w:tc>
        <w:tc>
          <w:tcPr>
            <w:tcW w:w="900" w:type="dxa"/>
          </w:tcPr>
          <w:p w:rsidR="00F74F14" w:rsidRDefault="00F74F14" w:rsidP="00EE3DFF">
            <w:pPr>
              <w:pStyle w:val="TableText"/>
            </w:pPr>
            <w:r>
              <w:t>M</w:t>
            </w:r>
          </w:p>
        </w:tc>
        <w:tc>
          <w:tcPr>
            <w:tcW w:w="1083" w:type="dxa"/>
          </w:tcPr>
          <w:p w:rsidR="00F74F14" w:rsidRDefault="00F74F14" w:rsidP="00EE3DFF">
            <w:pPr>
              <w:pStyle w:val="TableText"/>
            </w:pPr>
            <w:r>
              <w:t>NSW</w:t>
            </w:r>
          </w:p>
        </w:tc>
      </w:tr>
      <w:tr w:rsidR="00F74F14" w:rsidTr="00C4064A">
        <w:trPr>
          <w:cantSplit/>
        </w:trPr>
        <w:tc>
          <w:tcPr>
            <w:tcW w:w="2185" w:type="dxa"/>
          </w:tcPr>
          <w:p w:rsidR="00F74F14" w:rsidRDefault="00F74F14" w:rsidP="00EE3DFF">
            <w:pPr>
              <w:pStyle w:val="TableText"/>
            </w:pPr>
            <w:r>
              <w:t>Brigadier Mark Bornholt (Retd)</w:t>
            </w:r>
          </w:p>
        </w:tc>
        <w:tc>
          <w:tcPr>
            <w:tcW w:w="1080" w:type="dxa"/>
          </w:tcPr>
          <w:p w:rsidR="00F74F14" w:rsidRDefault="00F74F14" w:rsidP="00EE3DFF">
            <w:pPr>
              <w:pStyle w:val="TableText"/>
            </w:pPr>
            <w:r>
              <w:t>P/T Services Member</w:t>
            </w:r>
          </w:p>
        </w:tc>
        <w:tc>
          <w:tcPr>
            <w:tcW w:w="1350" w:type="dxa"/>
          </w:tcPr>
          <w:p w:rsidR="00F74F14" w:rsidRDefault="00F74F14" w:rsidP="00EE3DFF">
            <w:pPr>
              <w:pStyle w:val="TableText"/>
            </w:pPr>
            <w:r>
              <w:t>1 Jan 2011</w:t>
            </w:r>
          </w:p>
        </w:tc>
        <w:tc>
          <w:tcPr>
            <w:tcW w:w="1350" w:type="dxa"/>
          </w:tcPr>
          <w:p w:rsidR="00F74F14" w:rsidRDefault="00F74F14" w:rsidP="00EE3DFF">
            <w:pPr>
              <w:pStyle w:val="TableText"/>
            </w:pPr>
            <w:r>
              <w:t>11 Nov 2020</w:t>
            </w:r>
          </w:p>
        </w:tc>
        <w:tc>
          <w:tcPr>
            <w:tcW w:w="900" w:type="dxa"/>
          </w:tcPr>
          <w:p w:rsidR="00F74F14" w:rsidRDefault="00F74F14" w:rsidP="00EE3DFF">
            <w:pPr>
              <w:pStyle w:val="TableText"/>
            </w:pPr>
            <w:r>
              <w:t>M</w:t>
            </w:r>
          </w:p>
        </w:tc>
        <w:tc>
          <w:tcPr>
            <w:tcW w:w="1083" w:type="dxa"/>
          </w:tcPr>
          <w:p w:rsidR="00F74F14" w:rsidRDefault="00F74F14" w:rsidP="00EE3DFF">
            <w:pPr>
              <w:pStyle w:val="TableText"/>
            </w:pPr>
            <w:r>
              <w:t>ACT</w:t>
            </w:r>
          </w:p>
        </w:tc>
      </w:tr>
      <w:tr w:rsidR="00F74F14" w:rsidTr="00C4064A">
        <w:trPr>
          <w:cantSplit/>
        </w:trPr>
        <w:tc>
          <w:tcPr>
            <w:tcW w:w="2185" w:type="dxa"/>
          </w:tcPr>
          <w:p w:rsidR="00F74F14" w:rsidRDefault="00F74F14" w:rsidP="00EE3DFF">
            <w:pPr>
              <w:pStyle w:val="TableText"/>
            </w:pPr>
            <w:r>
              <w:t>Dr Scott Clark</w:t>
            </w:r>
          </w:p>
        </w:tc>
        <w:tc>
          <w:tcPr>
            <w:tcW w:w="1080" w:type="dxa"/>
          </w:tcPr>
          <w:p w:rsidR="00F74F14" w:rsidRDefault="00F74F14" w:rsidP="00EE3DFF">
            <w:pPr>
              <w:pStyle w:val="TableText"/>
            </w:pPr>
            <w:r>
              <w:t>P/T Services Member</w:t>
            </w:r>
          </w:p>
        </w:tc>
        <w:tc>
          <w:tcPr>
            <w:tcW w:w="1350" w:type="dxa"/>
          </w:tcPr>
          <w:p w:rsidR="00F74F14" w:rsidRDefault="00F74F14" w:rsidP="00EE3DFF">
            <w:pPr>
              <w:pStyle w:val="TableText"/>
            </w:pPr>
            <w:r>
              <w:t>1 Jan 2011</w:t>
            </w:r>
          </w:p>
        </w:tc>
        <w:tc>
          <w:tcPr>
            <w:tcW w:w="1350" w:type="dxa"/>
          </w:tcPr>
          <w:p w:rsidR="00F74F14" w:rsidRDefault="00F74F14" w:rsidP="00EE3DFF">
            <w:pPr>
              <w:pStyle w:val="TableText"/>
            </w:pPr>
            <w:r>
              <w:t>11 Nov 2020</w:t>
            </w:r>
          </w:p>
        </w:tc>
        <w:tc>
          <w:tcPr>
            <w:tcW w:w="900" w:type="dxa"/>
          </w:tcPr>
          <w:p w:rsidR="00F74F14" w:rsidRDefault="00F74F14" w:rsidP="00EE3DFF">
            <w:pPr>
              <w:pStyle w:val="TableText"/>
            </w:pPr>
            <w:r>
              <w:t>M</w:t>
            </w:r>
          </w:p>
        </w:tc>
        <w:tc>
          <w:tcPr>
            <w:tcW w:w="1083" w:type="dxa"/>
          </w:tcPr>
          <w:p w:rsidR="00F74F14" w:rsidRDefault="00F74F14" w:rsidP="00EE3DFF">
            <w:pPr>
              <w:pStyle w:val="TableText"/>
            </w:pPr>
            <w:r>
              <w:t>QLD</w:t>
            </w:r>
          </w:p>
        </w:tc>
      </w:tr>
      <w:tr w:rsidR="00F74F14" w:rsidTr="00C4064A">
        <w:trPr>
          <w:cantSplit/>
        </w:trPr>
        <w:tc>
          <w:tcPr>
            <w:tcW w:w="2185" w:type="dxa"/>
          </w:tcPr>
          <w:p w:rsidR="00F74F14" w:rsidRDefault="00F74F14" w:rsidP="00EE3DFF">
            <w:pPr>
              <w:pStyle w:val="TableText"/>
            </w:pPr>
            <w:r>
              <w:t>Ms Nadine Crimston</w:t>
            </w:r>
          </w:p>
        </w:tc>
        <w:tc>
          <w:tcPr>
            <w:tcW w:w="1080" w:type="dxa"/>
          </w:tcPr>
          <w:p w:rsidR="00F74F14" w:rsidRDefault="00F74F14" w:rsidP="00EE3DFF">
            <w:pPr>
              <w:pStyle w:val="TableText"/>
            </w:pPr>
            <w:r>
              <w:t>P/T Services Member</w:t>
            </w:r>
          </w:p>
        </w:tc>
        <w:tc>
          <w:tcPr>
            <w:tcW w:w="1350" w:type="dxa"/>
          </w:tcPr>
          <w:p w:rsidR="00F74F14" w:rsidRDefault="00F74F14" w:rsidP="00EE3DFF">
            <w:pPr>
              <w:pStyle w:val="TableText"/>
            </w:pPr>
            <w:r>
              <w:t>12 Nov 2015</w:t>
            </w:r>
          </w:p>
        </w:tc>
        <w:tc>
          <w:tcPr>
            <w:tcW w:w="1350" w:type="dxa"/>
          </w:tcPr>
          <w:p w:rsidR="00F74F14" w:rsidRDefault="00F74F14" w:rsidP="00EE3DFF">
            <w:pPr>
              <w:pStyle w:val="TableText"/>
            </w:pPr>
            <w:r>
              <w:t>11 Nov 2020</w:t>
            </w:r>
          </w:p>
        </w:tc>
        <w:tc>
          <w:tcPr>
            <w:tcW w:w="900" w:type="dxa"/>
          </w:tcPr>
          <w:p w:rsidR="00F74F14" w:rsidRDefault="00F74F14" w:rsidP="00EE3DFF">
            <w:pPr>
              <w:pStyle w:val="TableText"/>
            </w:pPr>
            <w:r>
              <w:t>M</w:t>
            </w:r>
          </w:p>
        </w:tc>
        <w:tc>
          <w:tcPr>
            <w:tcW w:w="1083" w:type="dxa"/>
          </w:tcPr>
          <w:p w:rsidR="00F74F14" w:rsidRDefault="00F74F14" w:rsidP="00EE3DFF">
            <w:pPr>
              <w:pStyle w:val="TableText"/>
            </w:pPr>
            <w:r>
              <w:t>NSW</w:t>
            </w:r>
          </w:p>
        </w:tc>
      </w:tr>
      <w:tr w:rsidR="00F74F14" w:rsidTr="00C4064A">
        <w:trPr>
          <w:cantSplit/>
        </w:trPr>
        <w:tc>
          <w:tcPr>
            <w:tcW w:w="2185" w:type="dxa"/>
          </w:tcPr>
          <w:p w:rsidR="00F74F14" w:rsidRDefault="00F74F14" w:rsidP="00EE3DFF">
            <w:pPr>
              <w:pStyle w:val="TableText"/>
            </w:pPr>
            <w:r>
              <w:t>Brigadier Christopher Hamilton</w:t>
            </w:r>
          </w:p>
        </w:tc>
        <w:tc>
          <w:tcPr>
            <w:tcW w:w="1080" w:type="dxa"/>
          </w:tcPr>
          <w:p w:rsidR="00F74F14" w:rsidRDefault="00F74F14" w:rsidP="00EE3DFF">
            <w:pPr>
              <w:pStyle w:val="TableText"/>
            </w:pPr>
            <w:r>
              <w:t>P/T Services Member</w:t>
            </w:r>
          </w:p>
        </w:tc>
        <w:tc>
          <w:tcPr>
            <w:tcW w:w="1350" w:type="dxa"/>
          </w:tcPr>
          <w:p w:rsidR="00F74F14" w:rsidRDefault="00F74F14" w:rsidP="00EE3DFF">
            <w:pPr>
              <w:pStyle w:val="TableText"/>
            </w:pPr>
            <w:r>
              <w:t>7 Dec 2011</w:t>
            </w:r>
          </w:p>
        </w:tc>
        <w:tc>
          <w:tcPr>
            <w:tcW w:w="1350" w:type="dxa"/>
          </w:tcPr>
          <w:p w:rsidR="00F74F14" w:rsidRDefault="00F74F14" w:rsidP="00EE3DFF">
            <w:pPr>
              <w:pStyle w:val="TableText"/>
            </w:pPr>
            <w:r>
              <w:t>30 Sep 2018</w:t>
            </w:r>
          </w:p>
        </w:tc>
        <w:tc>
          <w:tcPr>
            <w:tcW w:w="900" w:type="dxa"/>
          </w:tcPr>
          <w:p w:rsidR="00F74F14" w:rsidRDefault="00F74F14" w:rsidP="00EE3DFF">
            <w:pPr>
              <w:pStyle w:val="TableText"/>
            </w:pPr>
            <w:r>
              <w:t>M</w:t>
            </w:r>
          </w:p>
        </w:tc>
        <w:tc>
          <w:tcPr>
            <w:tcW w:w="1083" w:type="dxa"/>
          </w:tcPr>
          <w:p w:rsidR="00F74F14" w:rsidRDefault="00F74F14" w:rsidP="00EE3DFF">
            <w:pPr>
              <w:pStyle w:val="TableText"/>
            </w:pPr>
            <w:r>
              <w:t>QLD</w:t>
            </w:r>
          </w:p>
        </w:tc>
      </w:tr>
      <w:tr w:rsidR="00F74F14" w:rsidTr="00C4064A">
        <w:trPr>
          <w:cantSplit/>
        </w:trPr>
        <w:tc>
          <w:tcPr>
            <w:tcW w:w="2185" w:type="dxa"/>
          </w:tcPr>
          <w:p w:rsidR="00F74F14" w:rsidRDefault="00F74F14" w:rsidP="00EE3DFF">
            <w:pPr>
              <w:pStyle w:val="TableText"/>
            </w:pPr>
            <w:r>
              <w:t>Commodore Simon Hart CSC RAN (Retd)</w:t>
            </w:r>
          </w:p>
        </w:tc>
        <w:tc>
          <w:tcPr>
            <w:tcW w:w="1080" w:type="dxa"/>
          </w:tcPr>
          <w:p w:rsidR="00F74F14" w:rsidRDefault="00F74F14" w:rsidP="00EE3DFF">
            <w:pPr>
              <w:pStyle w:val="TableText"/>
            </w:pPr>
            <w:r>
              <w:t>P/T Services Member</w:t>
            </w:r>
          </w:p>
        </w:tc>
        <w:tc>
          <w:tcPr>
            <w:tcW w:w="1350" w:type="dxa"/>
          </w:tcPr>
          <w:p w:rsidR="00F74F14" w:rsidRDefault="00F74F14" w:rsidP="00EE3DFF">
            <w:pPr>
              <w:pStyle w:val="TableText"/>
            </w:pPr>
            <w:r>
              <w:t>1 Jan 2011</w:t>
            </w:r>
          </w:p>
        </w:tc>
        <w:tc>
          <w:tcPr>
            <w:tcW w:w="1350" w:type="dxa"/>
          </w:tcPr>
          <w:p w:rsidR="00F74F14" w:rsidRDefault="00F74F14" w:rsidP="00EE3DFF">
            <w:pPr>
              <w:pStyle w:val="TableText"/>
            </w:pPr>
            <w:r>
              <w:t>11 Nov 2020</w:t>
            </w:r>
          </w:p>
        </w:tc>
        <w:tc>
          <w:tcPr>
            <w:tcW w:w="900" w:type="dxa"/>
          </w:tcPr>
          <w:p w:rsidR="00F74F14" w:rsidRDefault="00F74F14" w:rsidP="00EE3DFF">
            <w:pPr>
              <w:pStyle w:val="TableText"/>
            </w:pPr>
            <w:r>
              <w:t>M</w:t>
            </w:r>
          </w:p>
        </w:tc>
        <w:tc>
          <w:tcPr>
            <w:tcW w:w="1083" w:type="dxa"/>
          </w:tcPr>
          <w:p w:rsidR="00F74F14" w:rsidRDefault="00F74F14" w:rsidP="00EE3DFF">
            <w:pPr>
              <w:pStyle w:val="TableText"/>
            </w:pPr>
            <w:r>
              <w:t>NSW</w:t>
            </w:r>
          </w:p>
        </w:tc>
      </w:tr>
      <w:tr w:rsidR="00F74F14" w:rsidTr="00C4064A">
        <w:trPr>
          <w:cantSplit/>
        </w:trPr>
        <w:tc>
          <w:tcPr>
            <w:tcW w:w="2185" w:type="dxa"/>
          </w:tcPr>
          <w:p w:rsidR="00F74F14" w:rsidRDefault="00F74F14" w:rsidP="00EE3DFF">
            <w:pPr>
              <w:pStyle w:val="TableText"/>
            </w:pPr>
            <w:r>
              <w:lastRenderedPageBreak/>
              <w:t>Ms Louise Hunt</w:t>
            </w:r>
          </w:p>
        </w:tc>
        <w:tc>
          <w:tcPr>
            <w:tcW w:w="1080" w:type="dxa"/>
          </w:tcPr>
          <w:p w:rsidR="00F74F14" w:rsidRDefault="00F74F14" w:rsidP="00F74F14">
            <w:pPr>
              <w:pStyle w:val="TableText"/>
            </w:pPr>
            <w:r>
              <w:t>P/T Services Member</w:t>
            </w:r>
          </w:p>
        </w:tc>
        <w:tc>
          <w:tcPr>
            <w:tcW w:w="1350" w:type="dxa"/>
          </w:tcPr>
          <w:p w:rsidR="00F74F14" w:rsidRDefault="00F74F14" w:rsidP="00EE3DFF">
            <w:pPr>
              <w:pStyle w:val="TableText"/>
            </w:pPr>
            <w:r>
              <w:t>12 Nov 2015</w:t>
            </w:r>
          </w:p>
        </w:tc>
        <w:tc>
          <w:tcPr>
            <w:tcW w:w="1350" w:type="dxa"/>
          </w:tcPr>
          <w:p w:rsidR="00F74F14" w:rsidRDefault="00F74F14" w:rsidP="00EE3DFF">
            <w:pPr>
              <w:pStyle w:val="TableText"/>
            </w:pPr>
            <w:r>
              <w:t>11 Nov 2020</w:t>
            </w:r>
          </w:p>
        </w:tc>
        <w:tc>
          <w:tcPr>
            <w:tcW w:w="900" w:type="dxa"/>
          </w:tcPr>
          <w:p w:rsidR="00F74F14" w:rsidRDefault="00F74F14" w:rsidP="00EE3DFF">
            <w:pPr>
              <w:pStyle w:val="TableText"/>
            </w:pPr>
            <w:r>
              <w:t>F</w:t>
            </w:r>
          </w:p>
        </w:tc>
        <w:tc>
          <w:tcPr>
            <w:tcW w:w="1083" w:type="dxa"/>
          </w:tcPr>
          <w:p w:rsidR="00F74F14" w:rsidRDefault="00F74F14" w:rsidP="00EE3DFF">
            <w:pPr>
              <w:pStyle w:val="TableText"/>
            </w:pPr>
            <w:r>
              <w:t>NSW</w:t>
            </w:r>
          </w:p>
        </w:tc>
      </w:tr>
      <w:tr w:rsidR="00F74F14" w:rsidTr="00C4064A">
        <w:trPr>
          <w:cantSplit/>
        </w:trPr>
        <w:tc>
          <w:tcPr>
            <w:tcW w:w="2185" w:type="dxa"/>
          </w:tcPr>
          <w:p w:rsidR="00F74F14" w:rsidRDefault="00F74F14" w:rsidP="00EE3DFF">
            <w:pPr>
              <w:pStyle w:val="TableText"/>
            </w:pPr>
            <w:r>
              <w:t>Colonel Peter Maher</w:t>
            </w:r>
          </w:p>
        </w:tc>
        <w:tc>
          <w:tcPr>
            <w:tcW w:w="1080" w:type="dxa"/>
          </w:tcPr>
          <w:p w:rsidR="00F74F14" w:rsidRDefault="00F74F14" w:rsidP="00EE3DFF">
            <w:pPr>
              <w:pStyle w:val="TableText"/>
            </w:pPr>
            <w:r>
              <w:t>P/T Services Member</w:t>
            </w:r>
          </w:p>
        </w:tc>
        <w:tc>
          <w:tcPr>
            <w:tcW w:w="1350" w:type="dxa"/>
          </w:tcPr>
          <w:p w:rsidR="00F74F14" w:rsidRDefault="00F74F14" w:rsidP="00EE3DFF">
            <w:pPr>
              <w:pStyle w:val="TableText"/>
            </w:pPr>
            <w:r>
              <w:t>1 Mar 2013</w:t>
            </w:r>
          </w:p>
        </w:tc>
        <w:tc>
          <w:tcPr>
            <w:tcW w:w="1350" w:type="dxa"/>
          </w:tcPr>
          <w:p w:rsidR="00F74F14" w:rsidRDefault="00F74F14" w:rsidP="00EE3DFF">
            <w:pPr>
              <w:pStyle w:val="TableText"/>
            </w:pPr>
            <w:r>
              <w:t>11 Nov 2020</w:t>
            </w:r>
          </w:p>
        </w:tc>
        <w:tc>
          <w:tcPr>
            <w:tcW w:w="900" w:type="dxa"/>
          </w:tcPr>
          <w:p w:rsidR="00F74F14" w:rsidRDefault="00F74F14" w:rsidP="00EE3DFF">
            <w:pPr>
              <w:pStyle w:val="TableText"/>
            </w:pPr>
            <w:r>
              <w:t>M</w:t>
            </w:r>
          </w:p>
        </w:tc>
        <w:tc>
          <w:tcPr>
            <w:tcW w:w="1083" w:type="dxa"/>
          </w:tcPr>
          <w:p w:rsidR="00F74F14" w:rsidRDefault="00F74F14" w:rsidP="00EE3DFF">
            <w:pPr>
              <w:pStyle w:val="TableText"/>
            </w:pPr>
            <w:r>
              <w:t>QLD</w:t>
            </w:r>
          </w:p>
        </w:tc>
      </w:tr>
      <w:tr w:rsidR="00F74F14" w:rsidTr="00C4064A">
        <w:trPr>
          <w:cantSplit/>
        </w:trPr>
        <w:tc>
          <w:tcPr>
            <w:tcW w:w="2185" w:type="dxa"/>
          </w:tcPr>
          <w:p w:rsidR="00F74F14" w:rsidRDefault="00F74F14" w:rsidP="00EE3DFF">
            <w:pPr>
              <w:pStyle w:val="TableText"/>
            </w:pPr>
            <w:r>
              <w:t>Colonel Robin Regan CSC (Retd)</w:t>
            </w:r>
          </w:p>
        </w:tc>
        <w:tc>
          <w:tcPr>
            <w:tcW w:w="1080" w:type="dxa"/>
          </w:tcPr>
          <w:p w:rsidR="00F74F14" w:rsidRDefault="00F74F14" w:rsidP="00EE3DFF">
            <w:pPr>
              <w:pStyle w:val="TableText"/>
            </w:pPr>
            <w:r>
              <w:t>P/T Services Member</w:t>
            </w:r>
          </w:p>
        </w:tc>
        <w:tc>
          <w:tcPr>
            <w:tcW w:w="1350" w:type="dxa"/>
          </w:tcPr>
          <w:p w:rsidR="00F74F14" w:rsidRDefault="00F74F14" w:rsidP="00EE3DFF">
            <w:pPr>
              <w:pStyle w:val="TableText"/>
            </w:pPr>
            <w:r>
              <w:t>28 May 1999</w:t>
            </w:r>
          </w:p>
        </w:tc>
        <w:tc>
          <w:tcPr>
            <w:tcW w:w="1350" w:type="dxa"/>
          </w:tcPr>
          <w:p w:rsidR="00F74F14" w:rsidRDefault="00F74F14" w:rsidP="00EE3DFF">
            <w:pPr>
              <w:pStyle w:val="TableText"/>
            </w:pPr>
            <w:r>
              <w:t>30 Sep 2018</w:t>
            </w:r>
          </w:p>
        </w:tc>
        <w:tc>
          <w:tcPr>
            <w:tcW w:w="900" w:type="dxa"/>
          </w:tcPr>
          <w:p w:rsidR="00F74F14" w:rsidRDefault="00F74F14" w:rsidP="00EE3DFF">
            <w:pPr>
              <w:pStyle w:val="TableText"/>
            </w:pPr>
            <w:r>
              <w:t>M</w:t>
            </w:r>
          </w:p>
        </w:tc>
        <w:tc>
          <w:tcPr>
            <w:tcW w:w="1083" w:type="dxa"/>
          </w:tcPr>
          <w:p w:rsidR="00F74F14" w:rsidRDefault="00F74F14" w:rsidP="00EE3DFF">
            <w:pPr>
              <w:pStyle w:val="TableText"/>
            </w:pPr>
            <w:r>
              <w:t>VIC</w:t>
            </w:r>
          </w:p>
        </w:tc>
      </w:tr>
      <w:tr w:rsidR="00F74F14" w:rsidTr="00C4064A">
        <w:trPr>
          <w:cantSplit/>
        </w:trPr>
        <w:tc>
          <w:tcPr>
            <w:tcW w:w="2185" w:type="dxa"/>
          </w:tcPr>
          <w:p w:rsidR="00F74F14" w:rsidRDefault="00A42141" w:rsidP="00EE3DFF">
            <w:pPr>
              <w:pStyle w:val="TableText"/>
            </w:pPr>
            <w:r>
              <w:t>Mr Francis Roberts</w:t>
            </w:r>
          </w:p>
        </w:tc>
        <w:tc>
          <w:tcPr>
            <w:tcW w:w="1080" w:type="dxa"/>
          </w:tcPr>
          <w:p w:rsidR="00F74F14" w:rsidRDefault="00F74F14" w:rsidP="00EE3DFF">
            <w:pPr>
              <w:pStyle w:val="TableText"/>
            </w:pPr>
            <w:r>
              <w:t>P/T Services Member</w:t>
            </w:r>
          </w:p>
        </w:tc>
        <w:tc>
          <w:tcPr>
            <w:tcW w:w="1350" w:type="dxa"/>
          </w:tcPr>
          <w:p w:rsidR="00F74F14" w:rsidRDefault="00A42141" w:rsidP="00EE3DFF">
            <w:pPr>
              <w:pStyle w:val="TableText"/>
            </w:pPr>
            <w:r>
              <w:t>12 Nov 2015</w:t>
            </w:r>
          </w:p>
        </w:tc>
        <w:tc>
          <w:tcPr>
            <w:tcW w:w="1350" w:type="dxa"/>
          </w:tcPr>
          <w:p w:rsidR="00F74F14" w:rsidRDefault="00A42141" w:rsidP="00EE3DFF">
            <w:pPr>
              <w:pStyle w:val="TableText"/>
            </w:pPr>
            <w:r>
              <w:t>11 Nov 2020</w:t>
            </w:r>
          </w:p>
        </w:tc>
        <w:tc>
          <w:tcPr>
            <w:tcW w:w="900" w:type="dxa"/>
          </w:tcPr>
          <w:p w:rsidR="00F74F14" w:rsidRDefault="00A42141" w:rsidP="00EE3DFF">
            <w:pPr>
              <w:pStyle w:val="TableText"/>
            </w:pPr>
            <w:r>
              <w:t>M</w:t>
            </w:r>
          </w:p>
        </w:tc>
        <w:tc>
          <w:tcPr>
            <w:tcW w:w="1083" w:type="dxa"/>
          </w:tcPr>
          <w:p w:rsidR="00F74F14" w:rsidRDefault="00A42141" w:rsidP="00EE3DFF">
            <w:pPr>
              <w:pStyle w:val="TableText"/>
            </w:pPr>
            <w:r>
              <w:t>QLD</w:t>
            </w:r>
          </w:p>
        </w:tc>
      </w:tr>
      <w:tr w:rsidR="00F74F14" w:rsidTr="00C4064A">
        <w:trPr>
          <w:cantSplit/>
        </w:trPr>
        <w:tc>
          <w:tcPr>
            <w:tcW w:w="2185" w:type="dxa"/>
          </w:tcPr>
          <w:p w:rsidR="00F74F14" w:rsidRDefault="00A42141" w:rsidP="00EE3DFF">
            <w:pPr>
              <w:pStyle w:val="TableText"/>
            </w:pPr>
            <w:r>
              <w:t>Commander Iain Whitehouse (Retd)</w:t>
            </w:r>
          </w:p>
        </w:tc>
        <w:tc>
          <w:tcPr>
            <w:tcW w:w="1080" w:type="dxa"/>
          </w:tcPr>
          <w:p w:rsidR="00F74F14" w:rsidRDefault="00F74F14" w:rsidP="00EE3DFF">
            <w:pPr>
              <w:pStyle w:val="TableText"/>
            </w:pPr>
            <w:r>
              <w:t>P/T Services Member</w:t>
            </w:r>
          </w:p>
        </w:tc>
        <w:tc>
          <w:tcPr>
            <w:tcW w:w="1350" w:type="dxa"/>
          </w:tcPr>
          <w:p w:rsidR="00F74F14" w:rsidRDefault="00A42141" w:rsidP="00EE3DFF">
            <w:pPr>
              <w:pStyle w:val="TableText"/>
            </w:pPr>
            <w:r>
              <w:t>7 Dec 2011</w:t>
            </w:r>
          </w:p>
        </w:tc>
        <w:tc>
          <w:tcPr>
            <w:tcW w:w="1350" w:type="dxa"/>
          </w:tcPr>
          <w:p w:rsidR="00F74F14" w:rsidRDefault="00A42141" w:rsidP="00EE3DFF">
            <w:pPr>
              <w:pStyle w:val="TableText"/>
            </w:pPr>
            <w:r>
              <w:t>30 Sep 2018</w:t>
            </w:r>
          </w:p>
        </w:tc>
        <w:tc>
          <w:tcPr>
            <w:tcW w:w="900" w:type="dxa"/>
          </w:tcPr>
          <w:p w:rsidR="00F74F14" w:rsidRDefault="00A42141" w:rsidP="00EE3DFF">
            <w:pPr>
              <w:pStyle w:val="TableText"/>
            </w:pPr>
            <w:r>
              <w:t>M</w:t>
            </w:r>
          </w:p>
        </w:tc>
        <w:tc>
          <w:tcPr>
            <w:tcW w:w="1083" w:type="dxa"/>
          </w:tcPr>
          <w:p w:rsidR="00F74F14" w:rsidRDefault="00A42141" w:rsidP="00EE3DFF">
            <w:pPr>
              <w:pStyle w:val="TableText"/>
            </w:pPr>
            <w:r>
              <w:t>QLD</w:t>
            </w:r>
          </w:p>
        </w:tc>
      </w:tr>
      <w:tr w:rsidR="00F74F14" w:rsidTr="00C4064A">
        <w:trPr>
          <w:cantSplit/>
        </w:trPr>
        <w:tc>
          <w:tcPr>
            <w:tcW w:w="2185" w:type="dxa"/>
          </w:tcPr>
          <w:p w:rsidR="00F74F14" w:rsidRDefault="00A42141" w:rsidP="00EE3DFF">
            <w:pPr>
              <w:pStyle w:val="TableText"/>
            </w:pPr>
            <w:r>
              <w:t>Air Commodore Bruce Wood (Retd)</w:t>
            </w:r>
          </w:p>
        </w:tc>
        <w:tc>
          <w:tcPr>
            <w:tcW w:w="1080" w:type="dxa"/>
          </w:tcPr>
          <w:p w:rsidR="00F74F14" w:rsidRDefault="00F74F14" w:rsidP="00EE3DFF">
            <w:pPr>
              <w:pStyle w:val="TableText"/>
            </w:pPr>
            <w:r>
              <w:t>P/T Services Member</w:t>
            </w:r>
          </w:p>
        </w:tc>
        <w:tc>
          <w:tcPr>
            <w:tcW w:w="1350" w:type="dxa"/>
          </w:tcPr>
          <w:p w:rsidR="00F74F14" w:rsidRDefault="00A42141" w:rsidP="00EE3DFF">
            <w:pPr>
              <w:pStyle w:val="TableText"/>
            </w:pPr>
            <w:r>
              <w:t>1 Oct 2006</w:t>
            </w:r>
          </w:p>
        </w:tc>
        <w:tc>
          <w:tcPr>
            <w:tcW w:w="1350" w:type="dxa"/>
          </w:tcPr>
          <w:p w:rsidR="00F74F14" w:rsidRDefault="00A42141" w:rsidP="00EE3DFF">
            <w:pPr>
              <w:pStyle w:val="TableText"/>
            </w:pPr>
            <w:r>
              <w:t>30 Sep 2018</w:t>
            </w:r>
          </w:p>
        </w:tc>
        <w:tc>
          <w:tcPr>
            <w:tcW w:w="900" w:type="dxa"/>
          </w:tcPr>
          <w:p w:rsidR="00F74F14" w:rsidRDefault="00A42141" w:rsidP="00EE3DFF">
            <w:pPr>
              <w:pStyle w:val="TableText"/>
            </w:pPr>
            <w:r>
              <w:t>M</w:t>
            </w:r>
          </w:p>
        </w:tc>
        <w:tc>
          <w:tcPr>
            <w:tcW w:w="1083" w:type="dxa"/>
          </w:tcPr>
          <w:p w:rsidR="00F74F14" w:rsidRDefault="00A42141" w:rsidP="00EE3DFF">
            <w:pPr>
              <w:pStyle w:val="TableText"/>
            </w:pPr>
            <w:r>
              <w:t>NSW</w:t>
            </w:r>
          </w:p>
        </w:tc>
      </w:tr>
      <w:tr w:rsidR="00F74F14" w:rsidTr="00C4064A">
        <w:trPr>
          <w:cantSplit/>
        </w:trPr>
        <w:tc>
          <w:tcPr>
            <w:tcW w:w="2185" w:type="dxa"/>
          </w:tcPr>
          <w:p w:rsidR="00F74F14" w:rsidRDefault="00A42141" w:rsidP="00EE3DFF">
            <w:pPr>
              <w:pStyle w:val="TableText"/>
            </w:pPr>
            <w:r>
              <w:t>Colonel Warwick Young</w:t>
            </w:r>
          </w:p>
        </w:tc>
        <w:tc>
          <w:tcPr>
            <w:tcW w:w="1080" w:type="dxa"/>
          </w:tcPr>
          <w:p w:rsidR="00F74F14" w:rsidRDefault="00F74F14" w:rsidP="00EE3DFF">
            <w:pPr>
              <w:pStyle w:val="TableText"/>
            </w:pPr>
            <w:r>
              <w:t>P/T Services Member</w:t>
            </w:r>
          </w:p>
        </w:tc>
        <w:tc>
          <w:tcPr>
            <w:tcW w:w="1350" w:type="dxa"/>
          </w:tcPr>
          <w:p w:rsidR="00F74F14" w:rsidRDefault="00A42141" w:rsidP="00EE3DFF">
            <w:pPr>
              <w:pStyle w:val="TableText"/>
            </w:pPr>
            <w:r>
              <w:t>31 Mar 2008</w:t>
            </w:r>
          </w:p>
        </w:tc>
        <w:tc>
          <w:tcPr>
            <w:tcW w:w="1350" w:type="dxa"/>
          </w:tcPr>
          <w:p w:rsidR="00F74F14" w:rsidRDefault="00A42141" w:rsidP="00EE3DFF">
            <w:pPr>
              <w:pStyle w:val="TableText"/>
            </w:pPr>
            <w:r>
              <w:t>30 Sep 2018</w:t>
            </w:r>
          </w:p>
        </w:tc>
        <w:tc>
          <w:tcPr>
            <w:tcW w:w="900" w:type="dxa"/>
          </w:tcPr>
          <w:p w:rsidR="00F74F14" w:rsidRDefault="00A42141" w:rsidP="00EE3DFF">
            <w:pPr>
              <w:pStyle w:val="TableText"/>
            </w:pPr>
            <w:r>
              <w:t>M</w:t>
            </w:r>
          </w:p>
        </w:tc>
        <w:tc>
          <w:tcPr>
            <w:tcW w:w="1083" w:type="dxa"/>
          </w:tcPr>
          <w:p w:rsidR="00F74F14" w:rsidRDefault="00A42141" w:rsidP="00EE3DFF">
            <w:pPr>
              <w:pStyle w:val="TableText"/>
            </w:pPr>
            <w:r>
              <w:t>NSW</w:t>
            </w:r>
          </w:p>
        </w:tc>
      </w:tr>
      <w:tr w:rsidR="00F74F14" w:rsidTr="00C4064A">
        <w:trPr>
          <w:cantSplit/>
        </w:trPr>
        <w:tc>
          <w:tcPr>
            <w:tcW w:w="2185" w:type="dxa"/>
          </w:tcPr>
          <w:p w:rsidR="00F74F14" w:rsidRDefault="00A42141" w:rsidP="00EE3DFF">
            <w:pPr>
              <w:pStyle w:val="TableText"/>
            </w:pPr>
            <w:r>
              <w:t>Colonel Christopher Austin</w:t>
            </w:r>
          </w:p>
        </w:tc>
        <w:tc>
          <w:tcPr>
            <w:tcW w:w="1080" w:type="dxa"/>
          </w:tcPr>
          <w:p w:rsidR="00F74F14" w:rsidRDefault="00A42141" w:rsidP="00EE3DFF">
            <w:pPr>
              <w:pStyle w:val="TableText"/>
            </w:pPr>
            <w:r>
              <w:t>P/T Member</w:t>
            </w:r>
          </w:p>
        </w:tc>
        <w:tc>
          <w:tcPr>
            <w:tcW w:w="1350" w:type="dxa"/>
          </w:tcPr>
          <w:p w:rsidR="00F74F14" w:rsidRDefault="00A42141" w:rsidP="00EE3DFF">
            <w:pPr>
              <w:pStyle w:val="TableText"/>
            </w:pPr>
            <w:r>
              <w:t>12 Nov 2015</w:t>
            </w:r>
          </w:p>
        </w:tc>
        <w:tc>
          <w:tcPr>
            <w:tcW w:w="1350" w:type="dxa"/>
          </w:tcPr>
          <w:p w:rsidR="00F74F14" w:rsidRDefault="00A42141" w:rsidP="00EE3DFF">
            <w:pPr>
              <w:pStyle w:val="TableText"/>
            </w:pPr>
            <w:r>
              <w:t>11 Nov 2020</w:t>
            </w:r>
          </w:p>
        </w:tc>
        <w:tc>
          <w:tcPr>
            <w:tcW w:w="900" w:type="dxa"/>
          </w:tcPr>
          <w:p w:rsidR="00F74F14" w:rsidRDefault="00A42141" w:rsidP="00EE3DFF">
            <w:pPr>
              <w:pStyle w:val="TableText"/>
            </w:pPr>
            <w:r>
              <w:t>M</w:t>
            </w:r>
          </w:p>
        </w:tc>
        <w:tc>
          <w:tcPr>
            <w:tcW w:w="1083" w:type="dxa"/>
          </w:tcPr>
          <w:p w:rsidR="00F74F14" w:rsidRDefault="00A42141" w:rsidP="00EE3DFF">
            <w:pPr>
              <w:pStyle w:val="TableText"/>
            </w:pPr>
            <w:r>
              <w:t>QLD</w:t>
            </w:r>
          </w:p>
        </w:tc>
      </w:tr>
      <w:tr w:rsidR="00F74F14" w:rsidTr="00C4064A">
        <w:trPr>
          <w:cantSplit/>
        </w:trPr>
        <w:tc>
          <w:tcPr>
            <w:tcW w:w="2185" w:type="dxa"/>
          </w:tcPr>
          <w:p w:rsidR="00F74F14" w:rsidRDefault="00A42141" w:rsidP="00EE3DFF">
            <w:pPr>
              <w:pStyle w:val="TableText"/>
            </w:pPr>
            <w:r>
              <w:t>Ms Sharon Brennan</w:t>
            </w:r>
          </w:p>
        </w:tc>
        <w:tc>
          <w:tcPr>
            <w:tcW w:w="1080" w:type="dxa"/>
          </w:tcPr>
          <w:p w:rsidR="00F74F14" w:rsidRDefault="00A42141" w:rsidP="00EE3DFF">
            <w:pPr>
              <w:pStyle w:val="TableText"/>
            </w:pPr>
            <w:r>
              <w:t>P/T Member</w:t>
            </w:r>
          </w:p>
        </w:tc>
        <w:tc>
          <w:tcPr>
            <w:tcW w:w="1350" w:type="dxa"/>
          </w:tcPr>
          <w:p w:rsidR="00F74F14" w:rsidRDefault="00A42141" w:rsidP="00EE3DFF">
            <w:pPr>
              <w:pStyle w:val="TableText"/>
            </w:pPr>
            <w:r>
              <w:t>12 Nov 2015</w:t>
            </w:r>
          </w:p>
        </w:tc>
        <w:tc>
          <w:tcPr>
            <w:tcW w:w="1350" w:type="dxa"/>
          </w:tcPr>
          <w:p w:rsidR="00F74F14" w:rsidRDefault="00A42141" w:rsidP="00EE3DFF">
            <w:pPr>
              <w:pStyle w:val="TableText"/>
            </w:pPr>
            <w:r>
              <w:t>11 Nov 2020</w:t>
            </w:r>
          </w:p>
        </w:tc>
        <w:tc>
          <w:tcPr>
            <w:tcW w:w="900" w:type="dxa"/>
          </w:tcPr>
          <w:p w:rsidR="00F74F14" w:rsidRDefault="00A42141" w:rsidP="00EE3DFF">
            <w:pPr>
              <w:pStyle w:val="TableText"/>
            </w:pPr>
            <w:r>
              <w:t>F</w:t>
            </w:r>
          </w:p>
        </w:tc>
        <w:tc>
          <w:tcPr>
            <w:tcW w:w="1083" w:type="dxa"/>
          </w:tcPr>
          <w:p w:rsidR="00F74F14" w:rsidRDefault="00A42141" w:rsidP="00EE3DFF">
            <w:pPr>
              <w:pStyle w:val="TableText"/>
            </w:pPr>
            <w:r>
              <w:t>VIC</w:t>
            </w:r>
          </w:p>
        </w:tc>
      </w:tr>
      <w:tr w:rsidR="00A42141" w:rsidTr="00C4064A">
        <w:trPr>
          <w:cantSplit/>
        </w:trPr>
        <w:tc>
          <w:tcPr>
            <w:tcW w:w="2185" w:type="dxa"/>
          </w:tcPr>
          <w:p w:rsidR="00A42141" w:rsidRDefault="00A42141" w:rsidP="00EE3DFF">
            <w:pPr>
              <w:pStyle w:val="TableText"/>
            </w:pPr>
            <w:r>
              <w:t>Mr Frank Brown</w:t>
            </w:r>
          </w:p>
        </w:tc>
        <w:tc>
          <w:tcPr>
            <w:tcW w:w="1080" w:type="dxa"/>
          </w:tcPr>
          <w:p w:rsidR="00A42141" w:rsidRDefault="00A42141" w:rsidP="00EE3DFF">
            <w:pPr>
              <w:pStyle w:val="TableText"/>
            </w:pPr>
            <w:r>
              <w:t>P/T Member</w:t>
            </w:r>
          </w:p>
        </w:tc>
        <w:tc>
          <w:tcPr>
            <w:tcW w:w="1350" w:type="dxa"/>
          </w:tcPr>
          <w:p w:rsidR="00A42141" w:rsidRDefault="00A42141" w:rsidP="00EE3DFF">
            <w:pPr>
              <w:pStyle w:val="TableText"/>
            </w:pPr>
            <w:r>
              <w:t>1 Jun 2001</w:t>
            </w:r>
          </w:p>
        </w:tc>
        <w:tc>
          <w:tcPr>
            <w:tcW w:w="1350" w:type="dxa"/>
          </w:tcPr>
          <w:p w:rsidR="00A42141" w:rsidRDefault="00A42141" w:rsidP="00EE3DFF">
            <w:pPr>
              <w:pStyle w:val="TableText"/>
            </w:pPr>
            <w:r>
              <w:t>30 Sep 2018</w:t>
            </w:r>
          </w:p>
        </w:tc>
        <w:tc>
          <w:tcPr>
            <w:tcW w:w="900" w:type="dxa"/>
          </w:tcPr>
          <w:p w:rsidR="00A42141" w:rsidRDefault="00A42141" w:rsidP="00EE3DFF">
            <w:pPr>
              <w:pStyle w:val="TableText"/>
            </w:pPr>
            <w:r>
              <w:t>M</w:t>
            </w:r>
          </w:p>
        </w:tc>
        <w:tc>
          <w:tcPr>
            <w:tcW w:w="1083" w:type="dxa"/>
          </w:tcPr>
          <w:p w:rsidR="00A42141" w:rsidRDefault="00A42141" w:rsidP="00EE3DFF">
            <w:pPr>
              <w:pStyle w:val="TableText"/>
            </w:pPr>
            <w:r>
              <w:t>NSW</w:t>
            </w:r>
          </w:p>
        </w:tc>
      </w:tr>
      <w:tr w:rsidR="00A42141" w:rsidTr="00C4064A">
        <w:trPr>
          <w:cantSplit/>
        </w:trPr>
        <w:tc>
          <w:tcPr>
            <w:tcW w:w="2185" w:type="dxa"/>
          </w:tcPr>
          <w:p w:rsidR="00A42141" w:rsidRDefault="00A42141" w:rsidP="00EE3DFF">
            <w:pPr>
              <w:pStyle w:val="TableText"/>
            </w:pPr>
            <w:r>
              <w:t>Ms Linda Corbould</w:t>
            </w:r>
          </w:p>
        </w:tc>
        <w:tc>
          <w:tcPr>
            <w:tcW w:w="1080" w:type="dxa"/>
          </w:tcPr>
          <w:p w:rsidR="00A42141" w:rsidRDefault="00F430E3" w:rsidP="00EE3DFF">
            <w:pPr>
              <w:pStyle w:val="TableText"/>
            </w:pPr>
            <w:r>
              <w:t>P/T Member</w:t>
            </w:r>
          </w:p>
        </w:tc>
        <w:tc>
          <w:tcPr>
            <w:tcW w:w="1350" w:type="dxa"/>
          </w:tcPr>
          <w:p w:rsidR="00A42141" w:rsidRDefault="00A42141" w:rsidP="00EE3DFF">
            <w:pPr>
              <w:pStyle w:val="TableText"/>
            </w:pPr>
            <w:r>
              <w:t>12 Nov 2015</w:t>
            </w:r>
          </w:p>
        </w:tc>
        <w:tc>
          <w:tcPr>
            <w:tcW w:w="1350" w:type="dxa"/>
          </w:tcPr>
          <w:p w:rsidR="00A42141" w:rsidRDefault="00A42141" w:rsidP="00EE3DFF">
            <w:pPr>
              <w:pStyle w:val="TableText"/>
            </w:pPr>
            <w:r>
              <w:t>11 Nov 2020</w:t>
            </w:r>
          </w:p>
        </w:tc>
        <w:tc>
          <w:tcPr>
            <w:tcW w:w="900" w:type="dxa"/>
          </w:tcPr>
          <w:p w:rsidR="00A42141" w:rsidRDefault="00A42141" w:rsidP="00EE3DFF">
            <w:pPr>
              <w:pStyle w:val="TableText"/>
            </w:pPr>
            <w:r>
              <w:t>F</w:t>
            </w:r>
          </w:p>
        </w:tc>
        <w:tc>
          <w:tcPr>
            <w:tcW w:w="1083" w:type="dxa"/>
          </w:tcPr>
          <w:p w:rsidR="00A42141" w:rsidRDefault="00A42141" w:rsidP="00EE3DFF">
            <w:pPr>
              <w:pStyle w:val="TableText"/>
            </w:pPr>
            <w:r>
              <w:t>TAS</w:t>
            </w:r>
          </w:p>
        </w:tc>
      </w:tr>
      <w:tr w:rsidR="00A42141" w:rsidTr="00C4064A">
        <w:trPr>
          <w:cantSplit/>
        </w:trPr>
        <w:tc>
          <w:tcPr>
            <w:tcW w:w="2185" w:type="dxa"/>
          </w:tcPr>
          <w:p w:rsidR="00A42141" w:rsidRDefault="00A42141" w:rsidP="00EE3DFF">
            <w:pPr>
              <w:pStyle w:val="TableText"/>
            </w:pPr>
            <w:r>
              <w:t>Lieutenant Colonel Geoff Hourn</w:t>
            </w:r>
          </w:p>
        </w:tc>
        <w:tc>
          <w:tcPr>
            <w:tcW w:w="1080" w:type="dxa"/>
          </w:tcPr>
          <w:p w:rsidR="00A42141" w:rsidRDefault="00F430E3" w:rsidP="00EE3DFF">
            <w:pPr>
              <w:pStyle w:val="TableText"/>
            </w:pPr>
            <w:r>
              <w:t>P/T Member</w:t>
            </w:r>
          </w:p>
        </w:tc>
        <w:tc>
          <w:tcPr>
            <w:tcW w:w="1350" w:type="dxa"/>
          </w:tcPr>
          <w:p w:rsidR="00A42141" w:rsidRDefault="00A42141" w:rsidP="00EE3DFF">
            <w:pPr>
              <w:pStyle w:val="TableText"/>
            </w:pPr>
            <w:r>
              <w:t>1 Jan 2011</w:t>
            </w:r>
          </w:p>
        </w:tc>
        <w:tc>
          <w:tcPr>
            <w:tcW w:w="1350" w:type="dxa"/>
          </w:tcPr>
          <w:p w:rsidR="00A42141" w:rsidRDefault="00A42141" w:rsidP="00EE3DFF">
            <w:pPr>
              <w:pStyle w:val="TableText"/>
            </w:pPr>
            <w:r>
              <w:t>30 Sep 2018</w:t>
            </w:r>
          </w:p>
        </w:tc>
        <w:tc>
          <w:tcPr>
            <w:tcW w:w="900" w:type="dxa"/>
          </w:tcPr>
          <w:p w:rsidR="00A42141" w:rsidRDefault="00A42141" w:rsidP="00EE3DFF">
            <w:pPr>
              <w:pStyle w:val="TableText"/>
            </w:pPr>
            <w:r>
              <w:t>M</w:t>
            </w:r>
          </w:p>
        </w:tc>
        <w:tc>
          <w:tcPr>
            <w:tcW w:w="1083" w:type="dxa"/>
          </w:tcPr>
          <w:p w:rsidR="00A42141" w:rsidRDefault="00A42141" w:rsidP="00EE3DFF">
            <w:pPr>
              <w:pStyle w:val="TableText"/>
            </w:pPr>
            <w:r>
              <w:t>WA</w:t>
            </w:r>
          </w:p>
        </w:tc>
      </w:tr>
      <w:tr w:rsidR="00A42141" w:rsidTr="00C4064A">
        <w:trPr>
          <w:cantSplit/>
        </w:trPr>
        <w:tc>
          <w:tcPr>
            <w:tcW w:w="2185" w:type="dxa"/>
          </w:tcPr>
          <w:p w:rsidR="00A42141" w:rsidRDefault="00A42141" w:rsidP="00EE3DFF">
            <w:pPr>
              <w:pStyle w:val="TableText"/>
            </w:pPr>
            <w:r>
              <w:t>Mr Christopher Keher</w:t>
            </w:r>
          </w:p>
        </w:tc>
        <w:tc>
          <w:tcPr>
            <w:tcW w:w="1080" w:type="dxa"/>
          </w:tcPr>
          <w:p w:rsidR="00A42141" w:rsidRDefault="00F430E3" w:rsidP="00EE3DFF">
            <w:pPr>
              <w:pStyle w:val="TableText"/>
            </w:pPr>
            <w:r>
              <w:t>P/T Member</w:t>
            </w:r>
          </w:p>
        </w:tc>
        <w:tc>
          <w:tcPr>
            <w:tcW w:w="1350" w:type="dxa"/>
          </w:tcPr>
          <w:p w:rsidR="00A42141" w:rsidRDefault="00A42141" w:rsidP="00EE3DFF">
            <w:pPr>
              <w:pStyle w:val="TableText"/>
            </w:pPr>
            <w:r>
              <w:t>31 Mar 2008</w:t>
            </w:r>
          </w:p>
        </w:tc>
        <w:tc>
          <w:tcPr>
            <w:tcW w:w="1350" w:type="dxa"/>
          </w:tcPr>
          <w:p w:rsidR="00A42141" w:rsidRDefault="00A42141" w:rsidP="00EE3DFF">
            <w:pPr>
              <w:pStyle w:val="TableText"/>
            </w:pPr>
            <w:r>
              <w:t>11 Nov 2020</w:t>
            </w:r>
          </w:p>
        </w:tc>
        <w:tc>
          <w:tcPr>
            <w:tcW w:w="900" w:type="dxa"/>
          </w:tcPr>
          <w:p w:rsidR="00A42141" w:rsidRDefault="00A42141" w:rsidP="00EE3DFF">
            <w:pPr>
              <w:pStyle w:val="TableText"/>
            </w:pPr>
            <w:r>
              <w:t>M</w:t>
            </w:r>
          </w:p>
        </w:tc>
        <w:tc>
          <w:tcPr>
            <w:tcW w:w="1083" w:type="dxa"/>
          </w:tcPr>
          <w:p w:rsidR="00A42141" w:rsidRDefault="00A42141" w:rsidP="00EE3DFF">
            <w:pPr>
              <w:pStyle w:val="TableText"/>
            </w:pPr>
            <w:r>
              <w:t>NSW</w:t>
            </w:r>
          </w:p>
        </w:tc>
      </w:tr>
      <w:tr w:rsidR="00A42141" w:rsidTr="00C4064A">
        <w:trPr>
          <w:cantSplit/>
        </w:trPr>
        <w:tc>
          <w:tcPr>
            <w:tcW w:w="2185" w:type="dxa"/>
          </w:tcPr>
          <w:p w:rsidR="00A42141" w:rsidRDefault="00A42141" w:rsidP="00EE3DFF">
            <w:pPr>
              <w:pStyle w:val="TableText"/>
            </w:pPr>
            <w:r>
              <w:t>Ms Sandra Kerr</w:t>
            </w:r>
          </w:p>
        </w:tc>
        <w:tc>
          <w:tcPr>
            <w:tcW w:w="1080" w:type="dxa"/>
          </w:tcPr>
          <w:p w:rsidR="00A42141" w:rsidRDefault="00F430E3" w:rsidP="00EE3DFF">
            <w:pPr>
              <w:pStyle w:val="TableText"/>
            </w:pPr>
            <w:r>
              <w:t>P/T Member</w:t>
            </w:r>
          </w:p>
        </w:tc>
        <w:tc>
          <w:tcPr>
            <w:tcW w:w="1350" w:type="dxa"/>
          </w:tcPr>
          <w:p w:rsidR="00A42141" w:rsidRDefault="00A42141" w:rsidP="00EE3DFF">
            <w:pPr>
              <w:pStyle w:val="TableText"/>
            </w:pPr>
            <w:r>
              <w:t>12 Nov 2015</w:t>
            </w:r>
          </w:p>
        </w:tc>
        <w:tc>
          <w:tcPr>
            <w:tcW w:w="1350" w:type="dxa"/>
          </w:tcPr>
          <w:p w:rsidR="00A42141" w:rsidRDefault="00F430E3" w:rsidP="00EE3DFF">
            <w:pPr>
              <w:pStyle w:val="TableText"/>
            </w:pPr>
            <w:r>
              <w:t>11 Nov 2020</w:t>
            </w:r>
          </w:p>
        </w:tc>
        <w:tc>
          <w:tcPr>
            <w:tcW w:w="900" w:type="dxa"/>
          </w:tcPr>
          <w:p w:rsidR="00A42141" w:rsidRDefault="00F430E3" w:rsidP="00EE3DFF">
            <w:pPr>
              <w:pStyle w:val="TableText"/>
            </w:pPr>
            <w:r>
              <w:t>F</w:t>
            </w:r>
          </w:p>
        </w:tc>
        <w:tc>
          <w:tcPr>
            <w:tcW w:w="1083" w:type="dxa"/>
          </w:tcPr>
          <w:p w:rsidR="00A42141" w:rsidRDefault="00F430E3" w:rsidP="00EE3DFF">
            <w:pPr>
              <w:pStyle w:val="TableText"/>
            </w:pPr>
            <w:r>
              <w:t>VIC</w:t>
            </w:r>
          </w:p>
        </w:tc>
      </w:tr>
      <w:tr w:rsidR="00F430E3" w:rsidTr="00C4064A">
        <w:trPr>
          <w:cantSplit/>
        </w:trPr>
        <w:tc>
          <w:tcPr>
            <w:tcW w:w="2185" w:type="dxa"/>
          </w:tcPr>
          <w:p w:rsidR="00F430E3" w:rsidRDefault="00F430E3" w:rsidP="00EE3DFF">
            <w:pPr>
              <w:pStyle w:val="TableText"/>
            </w:pPr>
            <w:r>
              <w:t>Ms Josephine Lumb</w:t>
            </w:r>
          </w:p>
        </w:tc>
        <w:tc>
          <w:tcPr>
            <w:tcW w:w="1080" w:type="dxa"/>
          </w:tcPr>
          <w:p w:rsidR="00F430E3" w:rsidRDefault="00F430E3" w:rsidP="00EE3DFF">
            <w:pPr>
              <w:pStyle w:val="TableText"/>
            </w:pPr>
            <w:r>
              <w:t>P/T Member</w:t>
            </w:r>
          </w:p>
        </w:tc>
        <w:tc>
          <w:tcPr>
            <w:tcW w:w="1350" w:type="dxa"/>
          </w:tcPr>
          <w:p w:rsidR="00F430E3" w:rsidRDefault="00F430E3" w:rsidP="00EE3DFF">
            <w:pPr>
              <w:pStyle w:val="TableText"/>
            </w:pPr>
            <w:r>
              <w:t>12 Nov 2015</w:t>
            </w:r>
          </w:p>
        </w:tc>
        <w:tc>
          <w:tcPr>
            <w:tcW w:w="1350" w:type="dxa"/>
          </w:tcPr>
          <w:p w:rsidR="00F430E3" w:rsidRDefault="00F430E3" w:rsidP="00EE3DFF">
            <w:pPr>
              <w:pStyle w:val="TableText"/>
            </w:pPr>
            <w:r>
              <w:t>11 Nov 2020</w:t>
            </w:r>
          </w:p>
        </w:tc>
        <w:tc>
          <w:tcPr>
            <w:tcW w:w="900" w:type="dxa"/>
          </w:tcPr>
          <w:p w:rsidR="00F430E3" w:rsidRDefault="00F430E3" w:rsidP="00EE3DFF">
            <w:pPr>
              <w:pStyle w:val="TableText"/>
            </w:pPr>
            <w:r>
              <w:t>F</w:t>
            </w:r>
          </w:p>
        </w:tc>
        <w:tc>
          <w:tcPr>
            <w:tcW w:w="1083" w:type="dxa"/>
          </w:tcPr>
          <w:p w:rsidR="00F430E3" w:rsidRDefault="00F430E3" w:rsidP="00EE3DFF">
            <w:pPr>
              <w:pStyle w:val="TableText"/>
            </w:pPr>
            <w:r>
              <w:t>ACT</w:t>
            </w:r>
          </w:p>
        </w:tc>
      </w:tr>
      <w:tr w:rsidR="00F430E3" w:rsidTr="00C4064A">
        <w:trPr>
          <w:cantSplit/>
        </w:trPr>
        <w:tc>
          <w:tcPr>
            <w:tcW w:w="2185" w:type="dxa"/>
          </w:tcPr>
          <w:p w:rsidR="00F430E3" w:rsidRDefault="00F430E3" w:rsidP="00EE3DFF">
            <w:pPr>
              <w:pStyle w:val="TableText"/>
            </w:pPr>
            <w:r>
              <w:t>Mr Neville Wyatt</w:t>
            </w:r>
          </w:p>
        </w:tc>
        <w:tc>
          <w:tcPr>
            <w:tcW w:w="1080" w:type="dxa"/>
          </w:tcPr>
          <w:p w:rsidR="00F430E3" w:rsidRDefault="00F430E3" w:rsidP="00EE3DFF">
            <w:pPr>
              <w:pStyle w:val="TableText"/>
            </w:pPr>
            <w:r>
              <w:t>P/T Member</w:t>
            </w:r>
          </w:p>
        </w:tc>
        <w:tc>
          <w:tcPr>
            <w:tcW w:w="1350" w:type="dxa"/>
          </w:tcPr>
          <w:p w:rsidR="00F430E3" w:rsidRDefault="00F430E3" w:rsidP="00EE3DFF">
            <w:pPr>
              <w:pStyle w:val="TableText"/>
            </w:pPr>
            <w:r>
              <w:t>12 Nov 2015</w:t>
            </w:r>
          </w:p>
        </w:tc>
        <w:tc>
          <w:tcPr>
            <w:tcW w:w="1350" w:type="dxa"/>
          </w:tcPr>
          <w:p w:rsidR="00F430E3" w:rsidRDefault="00F430E3" w:rsidP="00EE3DFF">
            <w:pPr>
              <w:pStyle w:val="TableText"/>
            </w:pPr>
            <w:r>
              <w:t>11 Nov 2020</w:t>
            </w:r>
          </w:p>
        </w:tc>
        <w:tc>
          <w:tcPr>
            <w:tcW w:w="900" w:type="dxa"/>
          </w:tcPr>
          <w:p w:rsidR="00F430E3" w:rsidRDefault="00F430E3" w:rsidP="00EE3DFF">
            <w:pPr>
              <w:pStyle w:val="TableText"/>
            </w:pPr>
            <w:r>
              <w:t>M</w:t>
            </w:r>
          </w:p>
        </w:tc>
        <w:tc>
          <w:tcPr>
            <w:tcW w:w="1083" w:type="dxa"/>
          </w:tcPr>
          <w:p w:rsidR="00F430E3" w:rsidRDefault="00F430E3" w:rsidP="00EE3DFF">
            <w:pPr>
              <w:pStyle w:val="TableText"/>
            </w:pPr>
            <w:r>
              <w:t>NSW</w:t>
            </w:r>
          </w:p>
        </w:tc>
      </w:tr>
    </w:tbl>
    <w:p w:rsidR="00587B14" w:rsidRDefault="00587B14" w:rsidP="00587B14"/>
    <w:p w:rsidR="002E46ED" w:rsidRDefault="002E46ED" w:rsidP="002E46ED">
      <w:pPr>
        <w:pStyle w:val="Heading1"/>
        <w:pageBreakBefore/>
      </w:pPr>
      <w:bookmarkStart w:id="34" w:name="_Toc532322372"/>
      <w:r>
        <w:lastRenderedPageBreak/>
        <w:t>Appendix 4</w:t>
      </w:r>
      <w:bookmarkEnd w:id="34"/>
    </w:p>
    <w:p w:rsidR="002E46ED" w:rsidRDefault="002E46ED" w:rsidP="002E46ED">
      <w:pPr>
        <w:pStyle w:val="Heading3"/>
      </w:pPr>
      <w:bookmarkStart w:id="35" w:name="TOC_membership"/>
      <w:r>
        <w:t>Membership</w:t>
      </w:r>
      <w:r w:rsidR="0018474C">
        <w:fldChar w:fldCharType="begin"/>
      </w:r>
      <w:r w:rsidR="0018474C">
        <w:instrText xml:space="preserve"> XE "</w:instrText>
      </w:r>
      <w:r w:rsidR="0018474C" w:rsidRPr="003924C2">
        <w:instrText>membership</w:instrText>
      </w:r>
      <w:r w:rsidR="0018474C">
        <w:instrText xml:space="preserve">" \r "TOC_membership" </w:instrText>
      </w:r>
      <w:r w:rsidR="0018474C">
        <w:fldChar w:fldCharType="end"/>
      </w:r>
      <w:r>
        <w:t xml:space="preserve"> of the Veterans’ Review Board – Biographies</w:t>
      </w:r>
    </w:p>
    <w:p w:rsidR="002E46ED" w:rsidRPr="00FC41FC" w:rsidRDefault="002E46ED" w:rsidP="00797D64">
      <w:pPr>
        <w:pStyle w:val="BioName"/>
      </w:pPr>
      <w:r w:rsidRPr="00FC41FC">
        <w:t>Ms Jane Anderson</w:t>
      </w:r>
      <w:r w:rsidR="00FC41FC" w:rsidRPr="00FC41FC">
        <w:br/>
      </w:r>
      <w:r w:rsidRPr="00FC41FC">
        <w:t>Principal Member, NSW</w:t>
      </w:r>
    </w:p>
    <w:p w:rsidR="002E46ED" w:rsidRDefault="002E46ED" w:rsidP="002E46ED">
      <w:r>
        <w:t>Ms Anderson has been appointed as the Principal Member of the Veterans’ Review Board for a</w:t>
      </w:r>
      <w:r w:rsidR="00FC41FC">
        <w:t xml:space="preserve"> </w:t>
      </w:r>
      <w:r>
        <w:t>five year term commencing on 31 January 2018. Previously she had been appointed as a Member</w:t>
      </w:r>
      <w:r w:rsidR="00FC41FC">
        <w:t xml:space="preserve"> </w:t>
      </w:r>
      <w:r>
        <w:t>of the VRB in 2015. She holds a Bachelor of Laws (with Honours) degree from Flinders University</w:t>
      </w:r>
      <w:r w:rsidR="00FC41FC">
        <w:t xml:space="preserve"> </w:t>
      </w:r>
      <w:r>
        <w:t>of South Australia and a Master of Law degree from Cambridge University, United Kingdom. After</w:t>
      </w:r>
      <w:r w:rsidR="00FC41FC">
        <w:t xml:space="preserve"> </w:t>
      </w:r>
      <w:r>
        <w:t>working as a Senior Legal Officer for the Commonwealth Director of Public Prosecutions she</w:t>
      </w:r>
      <w:r w:rsidR="00FC41FC">
        <w:t xml:space="preserve"> </w:t>
      </w:r>
      <w:r>
        <w:t>was appointed as a Deputy President of the Guardianship Board of South Australia in 2009. She</w:t>
      </w:r>
      <w:r w:rsidR="00FC41FC">
        <w:t xml:space="preserve"> </w:t>
      </w:r>
      <w:r>
        <w:t>served in this role for five years before being appointed as a Senior Legal Member of the NSW</w:t>
      </w:r>
      <w:r w:rsidR="00FC41FC">
        <w:t xml:space="preserve"> </w:t>
      </w:r>
      <w:r>
        <w:t>Civil and Administrative Tribunal in 2014.</w:t>
      </w:r>
    </w:p>
    <w:p w:rsidR="00FC41FC" w:rsidRDefault="00FC41FC" w:rsidP="00797D64">
      <w:pPr>
        <w:pStyle w:val="BioName"/>
      </w:pPr>
      <w:r>
        <w:t>Colonel Christopher Austin</w:t>
      </w:r>
      <w:r w:rsidR="00252CFB">
        <w:br/>
      </w:r>
      <w:r>
        <w:t>Member, QLD</w:t>
      </w:r>
    </w:p>
    <w:p w:rsidR="00FC41FC" w:rsidRDefault="00FC41FC" w:rsidP="00252CFB">
      <w:r>
        <w:t>Colonel Austin has served as an Army Officer since 1980. His service has included operational</w:t>
      </w:r>
      <w:r w:rsidR="00252CFB">
        <w:t xml:space="preserve"> </w:t>
      </w:r>
      <w:r>
        <w:t>service in East Timor, the Middle East and the Queensland floods. He is an active member of the</w:t>
      </w:r>
      <w:r w:rsidR="00252CFB">
        <w:t xml:space="preserve"> </w:t>
      </w:r>
      <w:r>
        <w:t>Army Reserve and is a self-employed Management Consultant and Company Director.</w:t>
      </w:r>
    </w:p>
    <w:p w:rsidR="00FC41FC" w:rsidRDefault="00FC41FC" w:rsidP="00797D64">
      <w:pPr>
        <w:pStyle w:val="BioName"/>
      </w:pPr>
      <w:r>
        <w:t>Ms Robyn Bailey</w:t>
      </w:r>
      <w:r w:rsidR="00252CFB">
        <w:br/>
      </w:r>
      <w:r>
        <w:t>Senior Member, NSW</w:t>
      </w:r>
    </w:p>
    <w:p w:rsidR="00FC41FC" w:rsidRDefault="00FC41FC" w:rsidP="00252CFB">
      <w:r>
        <w:t>Ms Bailey holds Bachelor of Laws and Arts as well as a Master of Laws degree from the University</w:t>
      </w:r>
      <w:r w:rsidR="00252CFB">
        <w:t xml:space="preserve"> </w:t>
      </w:r>
      <w:r>
        <w:t>of New South Wales. After working in private practice she was appointed as a Member of the</w:t>
      </w:r>
      <w:r w:rsidR="00252CFB">
        <w:t xml:space="preserve"> </w:t>
      </w:r>
      <w:r>
        <w:t>Guardianship Tribunal in 2007 and to the Consumer Trader and Tenancy Tribunal in 2009. She</w:t>
      </w:r>
      <w:r w:rsidR="00252CFB">
        <w:t xml:space="preserve"> </w:t>
      </w:r>
      <w:r>
        <w:t>is currently employed as a Senior Member of the NSW Civil and Administrative Tribunal and also</w:t>
      </w:r>
      <w:r w:rsidR="00252CFB">
        <w:t xml:space="preserve"> </w:t>
      </w:r>
      <w:r>
        <w:t>works as a Mediator in the District Court of NSW, the Workers Compensation Commission and for</w:t>
      </w:r>
      <w:r w:rsidR="00252CFB">
        <w:t xml:space="preserve"> </w:t>
      </w:r>
      <w:r>
        <w:t>her own company. She is also facilitator for the Defence Abuse Response Taskforce.</w:t>
      </w:r>
    </w:p>
    <w:p w:rsidR="00FC41FC" w:rsidRDefault="00FC41FC" w:rsidP="00797D64">
      <w:pPr>
        <w:pStyle w:val="BioName"/>
      </w:pPr>
      <w:r>
        <w:t>Commander Gary Barrow</w:t>
      </w:r>
      <w:r w:rsidR="00252CFB">
        <w:br/>
      </w:r>
      <w:r>
        <w:t>Senior Member, WA</w:t>
      </w:r>
    </w:p>
    <w:p w:rsidR="00FC41FC" w:rsidRDefault="00FC41FC" w:rsidP="00252CFB">
      <w:r>
        <w:t>Commander Barrow served as a permanent officer in the Royal Australian Navy for 26 years. In</w:t>
      </w:r>
      <w:r w:rsidR="00252CFB">
        <w:t xml:space="preserve"> </w:t>
      </w:r>
      <w:r>
        <w:t>1983 he graduated from the University of Sydney Law School, and also qualified as a Legal Officer</w:t>
      </w:r>
      <w:r w:rsidR="00252CFB">
        <w:t xml:space="preserve"> </w:t>
      </w:r>
      <w:r>
        <w:t>in the Royal Australian Navy. He has been in private practice as a solicitor since 1986 and has</w:t>
      </w:r>
      <w:r w:rsidR="00252CFB">
        <w:t xml:space="preserve"> </w:t>
      </w:r>
      <w:r>
        <w:t>continued to serve as a Naval Reserve Officer. He was appointed a Member of the VRB in 2007</w:t>
      </w:r>
      <w:r w:rsidR="00252CFB">
        <w:t xml:space="preserve"> </w:t>
      </w:r>
      <w:r>
        <w:t>and a Senior Member of the VRB in 2011.</w:t>
      </w:r>
    </w:p>
    <w:p w:rsidR="00FC41FC" w:rsidRDefault="00FC41FC" w:rsidP="00797D64">
      <w:pPr>
        <w:pStyle w:val="BioName"/>
      </w:pPr>
      <w:r>
        <w:t>Brigadier Mark Bornholt (Rtd)</w:t>
      </w:r>
      <w:r w:rsidR="00252CFB">
        <w:br/>
      </w:r>
      <w:r>
        <w:t>Member, NSW</w:t>
      </w:r>
    </w:p>
    <w:p w:rsidR="00FC41FC" w:rsidRDefault="00FC41FC" w:rsidP="00252CFB">
      <w:r>
        <w:t>Mark Bornholt graduated from Officer School Portsea in 1978. He served in the 3rd and 6th</w:t>
      </w:r>
      <w:r w:rsidR="00252CFB">
        <w:t xml:space="preserve"> </w:t>
      </w:r>
      <w:r>
        <w:t>Battalions of the Royal Australian Regiment. He was appointed a Member of the Order of Australia</w:t>
      </w:r>
      <w:r w:rsidR="00252CFB">
        <w:t xml:space="preserve"> </w:t>
      </w:r>
      <w:r>
        <w:t>for his leadership of the 1st Battalion and was commended for distinguished service during</w:t>
      </w:r>
      <w:r w:rsidR="00252CFB">
        <w:t xml:space="preserve"> </w:t>
      </w:r>
      <w:r>
        <w:t>the war against Iraq. His senior appointments included Chief of Staff Land Headquarters and</w:t>
      </w:r>
      <w:r w:rsidR="00252CFB">
        <w:t xml:space="preserve"> </w:t>
      </w:r>
      <w:r>
        <w:t>Commandant Royal Military College of Australia. He retired in 2009 and worked as the CEO of</w:t>
      </w:r>
      <w:r w:rsidR="00252CFB">
        <w:t xml:space="preserve"> </w:t>
      </w:r>
      <w:r>
        <w:t>a business unit of a publicly listed company until 2014 when he was appointed to the Defence</w:t>
      </w:r>
      <w:r w:rsidR="00252CFB">
        <w:t xml:space="preserve"> </w:t>
      </w:r>
      <w:r>
        <w:t>Honours and Awards Appeals Tribunal. He remains a Chief of Army delegate for Redress of</w:t>
      </w:r>
      <w:r w:rsidR="00252CFB">
        <w:t xml:space="preserve"> </w:t>
      </w:r>
      <w:r>
        <w:t xml:space="preserve">Grievances issues, a Director of the Royal </w:t>
      </w:r>
      <w:r>
        <w:lastRenderedPageBreak/>
        <w:t>Australia Regiment Foundation and is the Colonel</w:t>
      </w:r>
      <w:r w:rsidR="00252CFB">
        <w:t xml:space="preserve"> </w:t>
      </w:r>
      <w:r>
        <w:t>Commandant of the Australian Army Band Corps. He previously served as a Services Member of</w:t>
      </w:r>
      <w:r w:rsidR="00252CFB">
        <w:t xml:space="preserve"> </w:t>
      </w:r>
      <w:r>
        <w:t>the VRB in 2010-2011.</w:t>
      </w:r>
    </w:p>
    <w:p w:rsidR="00FC41FC" w:rsidRDefault="00FC41FC" w:rsidP="00797D64">
      <w:pPr>
        <w:pStyle w:val="BioName"/>
      </w:pPr>
      <w:r>
        <w:t>Ms Sharon Brennan</w:t>
      </w:r>
      <w:r w:rsidR="00252CFB">
        <w:br/>
      </w:r>
      <w:r>
        <w:t>Member, VIC</w:t>
      </w:r>
    </w:p>
    <w:p w:rsidR="00FC41FC" w:rsidRDefault="00FC41FC" w:rsidP="00252CFB">
      <w:r>
        <w:t>Ms Brennan is an Accrediated Mediator and graduate in Arts, Education and Business. She has</w:t>
      </w:r>
      <w:r w:rsidR="00252CFB">
        <w:t xml:space="preserve"> </w:t>
      </w:r>
      <w:r>
        <w:t>served in the Citizens Military Forces, as an Intelligence Officer for ASIO and in senior HR roles</w:t>
      </w:r>
      <w:r w:rsidR="00252CFB">
        <w:t xml:space="preserve"> </w:t>
      </w:r>
      <w:r>
        <w:t>in the public sector. In 2006 she was appointed as a Member of the Veterans’ Review Tribunal</w:t>
      </w:r>
      <w:r w:rsidR="00252CFB">
        <w:t xml:space="preserve"> </w:t>
      </w:r>
      <w:r>
        <w:t>and has also worked as a Community Member of the Podiatrists’ Registration Board and as an</w:t>
      </w:r>
      <w:r w:rsidR="00252CFB">
        <w:t xml:space="preserve"> </w:t>
      </w:r>
      <w:r>
        <w:t>Independent Merits Reviewer for the Independent Protection Assessment Office. Since 1995 she</w:t>
      </w:r>
      <w:r w:rsidR="00252CFB">
        <w:t xml:space="preserve"> </w:t>
      </w:r>
      <w:r>
        <w:t>has been employed as a Conciliation Officer for the Accident Compensation Conciliation Service.</w:t>
      </w:r>
    </w:p>
    <w:p w:rsidR="00FC41FC" w:rsidRDefault="00FC41FC" w:rsidP="00797D64">
      <w:pPr>
        <w:pStyle w:val="BioName"/>
      </w:pPr>
      <w:r>
        <w:t>Mr Frank Brown, LLB</w:t>
      </w:r>
      <w:r w:rsidR="00252CFB">
        <w:br/>
      </w:r>
      <w:r>
        <w:t>Services Member, NSW</w:t>
      </w:r>
    </w:p>
    <w:p w:rsidR="00FC41FC" w:rsidRDefault="00FC41FC" w:rsidP="00252CFB">
      <w:r>
        <w:t>A former national serviceman, later promoted sergeant and then commissioned from OCS</w:t>
      </w:r>
      <w:r w:rsidR="00252CFB">
        <w:t xml:space="preserve"> </w:t>
      </w:r>
      <w:r>
        <w:t>Portsea in 1971. Army service included Vietnam in 1968-69 and an exchange posting with the</w:t>
      </w:r>
      <w:r w:rsidR="00252CFB">
        <w:t xml:space="preserve"> </w:t>
      </w:r>
      <w:r>
        <w:t>British Army in Germany 1976-1978. He left the Army in 1993 as a lieutenant colonel, following</w:t>
      </w:r>
      <w:r w:rsidR="00252CFB">
        <w:t xml:space="preserve"> </w:t>
      </w:r>
      <w:r>
        <w:t>which he worked for the NSW Independent Commission Against Corruption. After graduating in</w:t>
      </w:r>
      <w:r w:rsidR="00252CFB">
        <w:t xml:space="preserve"> </w:t>
      </w:r>
      <w:r>
        <w:t>law from the University of New South Wales in 1997, Frank worked as a solicitor in private practice.</w:t>
      </w:r>
      <w:r w:rsidR="00252CFB">
        <w:t xml:space="preserve"> </w:t>
      </w:r>
      <w:r>
        <w:t>Frank was appointed to the Board in 2001 and 2011.</w:t>
      </w:r>
    </w:p>
    <w:p w:rsidR="00FC41FC" w:rsidRDefault="00FC41FC" w:rsidP="00797D64">
      <w:pPr>
        <w:pStyle w:val="BioName"/>
      </w:pPr>
      <w:r>
        <w:t>Dr Scott Clark,</w:t>
      </w:r>
      <w:r w:rsidR="00252CFB">
        <w:br/>
      </w:r>
      <w:r>
        <w:t>Services Member, QLD</w:t>
      </w:r>
    </w:p>
    <w:p w:rsidR="00FC41FC" w:rsidRDefault="00FC41FC" w:rsidP="00252CFB">
      <w:r>
        <w:t>Mr Clark is a Psychologist who has worked in the area of mental health service delivery in both</w:t>
      </w:r>
      <w:r w:rsidR="00252CFB">
        <w:t xml:space="preserve"> </w:t>
      </w:r>
      <w:r>
        <w:t>inpatient and community settings since 1998. He is currently a Team Leader for a specialist Mental</w:t>
      </w:r>
      <w:r w:rsidR="00252CFB">
        <w:t xml:space="preserve"> </w:t>
      </w:r>
      <w:r>
        <w:t>Health Service. Mr Clark joined the Army Reserve in 1990, transferring to the Australian Army</w:t>
      </w:r>
      <w:r w:rsidR="00252CFB">
        <w:t xml:space="preserve"> </w:t>
      </w:r>
      <w:r>
        <w:t>Psychology Corps in 1997, where he continues to serve as a Psychologist.</w:t>
      </w:r>
    </w:p>
    <w:p w:rsidR="00FC41FC" w:rsidRDefault="00FC41FC" w:rsidP="00797D64">
      <w:pPr>
        <w:pStyle w:val="BioName"/>
      </w:pPr>
      <w:r>
        <w:t>Ms Alison Colvin</w:t>
      </w:r>
      <w:r w:rsidR="00252CFB">
        <w:br/>
      </w:r>
      <w:r>
        <w:t>Senior Member, QLD</w:t>
      </w:r>
    </w:p>
    <w:p w:rsidR="00FC41FC" w:rsidRDefault="00FC41FC" w:rsidP="00252CFB">
      <w:r>
        <w:t>Ms Colvin holds Bachelor degrees in Arts and Laws (with honours) from the University of</w:t>
      </w:r>
      <w:r w:rsidR="00252CFB">
        <w:t xml:space="preserve"> </w:t>
      </w:r>
      <w:r>
        <w:t>Queensland and a Masters in Law from Queensland University of Technology. She has practised</w:t>
      </w:r>
      <w:r w:rsidR="00252CFB">
        <w:t xml:space="preserve"> </w:t>
      </w:r>
      <w:r>
        <w:t>as a solicitor in private practice and was a Conference Registrar at the Administrative Appeals</w:t>
      </w:r>
      <w:r w:rsidR="00252CFB">
        <w:t xml:space="preserve"> </w:t>
      </w:r>
      <w:r>
        <w:t>Tribunal. She has previously held appointments as a part time Legal Member of the Queensland</w:t>
      </w:r>
      <w:r w:rsidR="00252CFB">
        <w:t xml:space="preserve"> </w:t>
      </w:r>
      <w:r>
        <w:t>Mental Health Review Tribunal and as a part time Commissioner with the Queensland Law Reform</w:t>
      </w:r>
      <w:r w:rsidR="00252CFB">
        <w:t xml:space="preserve"> </w:t>
      </w:r>
      <w:r>
        <w:t>Commission.</w:t>
      </w:r>
    </w:p>
    <w:p w:rsidR="00FC41FC" w:rsidRDefault="00FC41FC" w:rsidP="00797D64">
      <w:pPr>
        <w:pStyle w:val="BioName"/>
      </w:pPr>
      <w:r>
        <w:t>Ms Linda Corbould OAM</w:t>
      </w:r>
      <w:r w:rsidR="00252CFB">
        <w:br/>
      </w:r>
      <w:r>
        <w:t>Member, TAS</w:t>
      </w:r>
    </w:p>
    <w:p w:rsidR="00FC41FC" w:rsidRDefault="00FC41FC" w:rsidP="00252CFB">
      <w:r>
        <w:t>Ms Corbould had full-time service in the Royal Australian Air Force from 1981 to 2011 as an</w:t>
      </w:r>
      <w:r w:rsidR="00252CFB">
        <w:t xml:space="preserve"> </w:t>
      </w:r>
      <w:r>
        <w:t>Officer and a Pilot. Since 2011 she has been acting as an Officer in the Royal Australian Air Force</w:t>
      </w:r>
      <w:r w:rsidR="00252CFB">
        <w:t xml:space="preserve"> </w:t>
      </w:r>
      <w:r>
        <w:t>Reserve. She completed a Diploma of Military Studies at the Australian Command and Staff</w:t>
      </w:r>
      <w:r w:rsidR="00252CFB">
        <w:t xml:space="preserve"> </w:t>
      </w:r>
      <w:r>
        <w:t>College in 2005.</w:t>
      </w:r>
    </w:p>
    <w:p w:rsidR="00FC41FC" w:rsidRDefault="00FC41FC" w:rsidP="00797D64">
      <w:pPr>
        <w:pStyle w:val="BioName"/>
      </w:pPr>
      <w:r>
        <w:t>Mrs Nadine Crimston</w:t>
      </w:r>
      <w:r w:rsidR="00252CFB">
        <w:br/>
      </w:r>
      <w:r>
        <w:t>Services Member, NSW</w:t>
      </w:r>
    </w:p>
    <w:p w:rsidR="00FC41FC" w:rsidRDefault="00FC41FC" w:rsidP="00252CFB">
      <w:r>
        <w:t>Mrs Crimston holds Bachelor degrees in Business and Law and Masters in Business</w:t>
      </w:r>
      <w:r w:rsidR="00252CFB">
        <w:t xml:space="preserve"> </w:t>
      </w:r>
      <w:r>
        <w:t>Administration and Law. Nadine served in the Royal Australian Air Force in procurement and</w:t>
      </w:r>
      <w:r w:rsidR="00252CFB">
        <w:t xml:space="preserve"> </w:t>
      </w:r>
      <w:r>
        <w:t>logistics before moving into contract management for the Department of Defence, Boeing and</w:t>
      </w:r>
      <w:r w:rsidR="00252CFB">
        <w:t xml:space="preserve"> </w:t>
      </w:r>
      <w:r>
        <w:t>Australian Aerospace. She has been employed by Smith &amp; Nephew since 2012 and is currently</w:t>
      </w:r>
      <w:r w:rsidR="00252CFB">
        <w:t xml:space="preserve"> </w:t>
      </w:r>
      <w:r>
        <w:t>working in the capacity of Legal Counsel.</w:t>
      </w:r>
    </w:p>
    <w:p w:rsidR="00FC41FC" w:rsidRDefault="00FC41FC" w:rsidP="00797D64">
      <w:pPr>
        <w:pStyle w:val="BioName"/>
      </w:pPr>
      <w:r>
        <w:lastRenderedPageBreak/>
        <w:t>Ms Jennifer D’Arcy</w:t>
      </w:r>
      <w:r w:rsidR="00252CFB">
        <w:br/>
      </w:r>
      <w:r>
        <w:t>Senior Member, NSW</w:t>
      </w:r>
    </w:p>
    <w:p w:rsidR="00FC41FC" w:rsidRDefault="00FC41FC" w:rsidP="00252CFB">
      <w:r>
        <w:t>Ms D’Arcy has been a part-time Senior Member of the Board since 2001 and also is a part-time</w:t>
      </w:r>
      <w:r w:rsidR="00252CFB">
        <w:t xml:space="preserve"> </w:t>
      </w:r>
      <w:r>
        <w:t>legal member of the Mental Health Review Tribunal and the Social Security Appeals Tribunal, as</w:t>
      </w:r>
      <w:r w:rsidR="00252CFB">
        <w:t xml:space="preserve"> </w:t>
      </w:r>
      <w:r>
        <w:t>well as being a part-time presiding member of the Guardianship Tribunal.</w:t>
      </w:r>
    </w:p>
    <w:p w:rsidR="00FC41FC" w:rsidRDefault="00FC41FC" w:rsidP="00797D64">
      <w:pPr>
        <w:pStyle w:val="BioName"/>
      </w:pPr>
      <w:r>
        <w:t>Mr Robert Douglass</w:t>
      </w:r>
      <w:r w:rsidR="00252CFB">
        <w:br/>
      </w:r>
      <w:r>
        <w:t>Senior Member, VIC</w:t>
      </w:r>
    </w:p>
    <w:p w:rsidR="00FC41FC" w:rsidRDefault="00FC41FC" w:rsidP="00252CFB">
      <w:r>
        <w:t>Mr Douglass holds Bachelors of Economics and Laws from Monash University. He joined the</w:t>
      </w:r>
      <w:r w:rsidR="00252CFB">
        <w:t xml:space="preserve"> </w:t>
      </w:r>
      <w:r>
        <w:t>Department of Veterans’ Affairs in 1993, and was an Assistant Director in the Rehabilitation and</w:t>
      </w:r>
      <w:r w:rsidR="00252CFB">
        <w:t xml:space="preserve"> </w:t>
      </w:r>
      <w:r>
        <w:t>Compensation Group from 1995 to 2010, before working as a Senior Lawyer in the Legal Services</w:t>
      </w:r>
      <w:r w:rsidR="00252CFB">
        <w:t xml:space="preserve"> </w:t>
      </w:r>
      <w:r>
        <w:t>area of the Department from 2010 to 2014. Mr Douglass has served as a Legal Officer in the</w:t>
      </w:r>
      <w:r w:rsidR="00252CFB">
        <w:t xml:space="preserve"> </w:t>
      </w:r>
      <w:r>
        <w:t>Australian Army from 2007, and remains an active member of the Reserve. He was appointed a</w:t>
      </w:r>
      <w:r w:rsidR="00252CFB">
        <w:t xml:space="preserve"> </w:t>
      </w:r>
      <w:r>
        <w:t>Member of the VRB in 2014.</w:t>
      </w:r>
    </w:p>
    <w:p w:rsidR="00FC41FC" w:rsidRDefault="00FC41FC" w:rsidP="00797D64">
      <w:pPr>
        <w:pStyle w:val="BioName"/>
      </w:pPr>
      <w:r>
        <w:t>Brigadier Christopher Hamilton</w:t>
      </w:r>
      <w:r w:rsidR="00252CFB">
        <w:br/>
      </w:r>
      <w:r>
        <w:t>Services Member, QLD</w:t>
      </w:r>
    </w:p>
    <w:p w:rsidR="00FC41FC" w:rsidRDefault="00FC41FC" w:rsidP="00252CFB">
      <w:r>
        <w:t>Brigadier Hamilton has over 32 years of service in the Australian Army and is currently a serving</w:t>
      </w:r>
      <w:r w:rsidR="00252CFB">
        <w:t xml:space="preserve"> </w:t>
      </w:r>
      <w:r>
        <w:t>member of the Army Reserve. He held command appointments at every rank including battalion</w:t>
      </w:r>
      <w:r w:rsidR="00252CFB">
        <w:t xml:space="preserve"> </w:t>
      </w:r>
      <w:r>
        <w:t>command and command of units on operations overseas in Bougainville and East Timor. He</w:t>
      </w:r>
      <w:r w:rsidR="00252CFB">
        <w:t xml:space="preserve"> </w:t>
      </w:r>
      <w:r>
        <w:t>holds a Bachelors degree in Applied Science and a Masters degree in both Human resource</w:t>
      </w:r>
      <w:r w:rsidR="00252CFB">
        <w:t xml:space="preserve"> </w:t>
      </w:r>
      <w:r>
        <w:t>Management and Marketing. He is currently the Chief Executive Officer of Employment Services</w:t>
      </w:r>
      <w:r w:rsidR="00252CFB">
        <w:t xml:space="preserve"> </w:t>
      </w:r>
      <w:r>
        <w:t>Queensland. Chris is also the honorary Aide de Camp to the Governor General. Chris was</w:t>
      </w:r>
      <w:r w:rsidR="00252CFB">
        <w:t xml:space="preserve"> </w:t>
      </w:r>
      <w:r>
        <w:t>appointed to the VRB as a Services Member in 2011.</w:t>
      </w:r>
    </w:p>
    <w:p w:rsidR="00FC41FC" w:rsidRDefault="00FC41FC" w:rsidP="00797D64">
      <w:pPr>
        <w:pStyle w:val="BioName"/>
      </w:pPr>
      <w:r>
        <w:t>Commodore Simon J Hart CSC RAN (Retd)</w:t>
      </w:r>
      <w:r w:rsidR="00252CFB">
        <w:br/>
      </w:r>
      <w:r>
        <w:t>Services Member, NSW</w:t>
      </w:r>
    </w:p>
    <w:p w:rsidR="00FC41FC" w:rsidRDefault="00FC41FC" w:rsidP="00252CFB">
      <w:r>
        <w:t>Simon Hart served in the ADF for 33 years from 1973 until transferring to the Naval Reserve in</w:t>
      </w:r>
      <w:r w:rsidR="00252CFB">
        <w:t xml:space="preserve"> </w:t>
      </w:r>
      <w:r>
        <w:t>2006. Simon’s operational background is primarily in guided missile Frigates and Destroyers</w:t>
      </w:r>
      <w:r w:rsidR="00252CFB">
        <w:t xml:space="preserve"> </w:t>
      </w:r>
      <w:r>
        <w:t>with extensive Command experience in Destroyers. His two key positions in the Navy Senior</w:t>
      </w:r>
      <w:r w:rsidR="00252CFB">
        <w:t xml:space="preserve"> </w:t>
      </w:r>
      <w:r>
        <w:t>Leadership Group were Director General, Navy Personnel and Training Organisation; and</w:t>
      </w:r>
      <w:r w:rsidR="00252CFB">
        <w:t xml:space="preserve"> </w:t>
      </w:r>
      <w:r>
        <w:t>Commander, Australian Surface Combatant Force Element Group. He is a graduate of the Royal</w:t>
      </w:r>
      <w:r w:rsidR="00252CFB">
        <w:t xml:space="preserve"> </w:t>
      </w:r>
      <w:r>
        <w:t>Australian Naval College; University of NSW; US Navy Postgraduate School (Computer Science);</w:t>
      </w:r>
      <w:r w:rsidR="00252CFB">
        <w:t xml:space="preserve"> </w:t>
      </w:r>
      <w:r>
        <w:t>and Kings College, London (International Relations). He is a Fellow of the Australian Institute</w:t>
      </w:r>
      <w:r w:rsidR="00252CFB">
        <w:t xml:space="preserve"> </w:t>
      </w:r>
      <w:r>
        <w:t>of Management and a member of the Australian Institute of Company Directors. Simon was</w:t>
      </w:r>
      <w:r w:rsidR="00252CFB">
        <w:t xml:space="preserve"> </w:t>
      </w:r>
      <w:r>
        <w:t>appointed to the VRB as a Services Member in 2011.</w:t>
      </w:r>
    </w:p>
    <w:p w:rsidR="00FC41FC" w:rsidRDefault="00FC41FC" w:rsidP="00797D64">
      <w:pPr>
        <w:pStyle w:val="BioName"/>
      </w:pPr>
      <w:r>
        <w:t>Lieutenant Colonel Geoff Hourn</w:t>
      </w:r>
      <w:r w:rsidR="00252CFB">
        <w:br/>
      </w:r>
      <w:r>
        <w:t>Member, WA</w:t>
      </w:r>
    </w:p>
    <w:p w:rsidR="00FC41FC" w:rsidRDefault="00FC41FC" w:rsidP="00252CFB">
      <w:r>
        <w:t>Lieutenant Colonel Hourn is a 1987 graduate of the Australian Command and Staff College and</w:t>
      </w:r>
      <w:r w:rsidR="00252CFB">
        <w:t xml:space="preserve"> </w:t>
      </w:r>
      <w:r>
        <w:t>served in the Australian Intelligence Corps for 20 years before appointment to the Commonwealth</w:t>
      </w:r>
      <w:r w:rsidR="00252CFB">
        <w:t xml:space="preserve"> </w:t>
      </w:r>
      <w:r>
        <w:t>Senior Executive Service. He was a Member of the VRB from 1997 to 2004 and more recently</w:t>
      </w:r>
      <w:r w:rsidR="00252CFB">
        <w:t xml:space="preserve"> </w:t>
      </w:r>
      <w:r>
        <w:t>served with the United Nations in Afghanistan, Pakistan, Sudan, the United Arab Emirates and</w:t>
      </w:r>
      <w:r w:rsidR="00252CFB">
        <w:t xml:space="preserve"> </w:t>
      </w:r>
      <w:r>
        <w:t>Jordan. Colonel Hourn was reappointed to the VRB in January 2011.</w:t>
      </w:r>
    </w:p>
    <w:p w:rsidR="00FC41FC" w:rsidRDefault="00FC41FC" w:rsidP="00797D64">
      <w:pPr>
        <w:pStyle w:val="BioName"/>
      </w:pPr>
      <w:r>
        <w:t>Ms Louise Hunt</w:t>
      </w:r>
      <w:r w:rsidR="00252CFB">
        <w:br/>
      </w:r>
      <w:r>
        <w:t>Services Member, NSW</w:t>
      </w:r>
    </w:p>
    <w:p w:rsidR="00FC41FC" w:rsidRDefault="00FC41FC" w:rsidP="00252CFB">
      <w:r>
        <w:t>Ms Hunt is a graduate in Law with a postgraduate Master of International Law. She entered private</w:t>
      </w:r>
      <w:r w:rsidR="00252CFB">
        <w:t xml:space="preserve"> </w:t>
      </w:r>
      <w:r>
        <w:t>practice as a Solicitor in 1983 and joined the Royal Australian Air Force Reserve Legal Panel in</w:t>
      </w:r>
      <w:r w:rsidR="00252CFB">
        <w:t xml:space="preserve"> </w:t>
      </w:r>
      <w:r>
        <w:t>1984. She is currently a Panel Leader for the Royal Australian Air Force Reserve Legal Panel.</w:t>
      </w:r>
    </w:p>
    <w:p w:rsidR="00FC41FC" w:rsidRDefault="00FC41FC" w:rsidP="00252CFB">
      <w:r>
        <w:t>Mr Christopher Keher</w:t>
      </w:r>
      <w:r w:rsidR="00252CFB">
        <w:br/>
      </w:r>
      <w:r>
        <w:t>Member, NSW</w:t>
      </w:r>
    </w:p>
    <w:p w:rsidR="00FC41FC" w:rsidRDefault="00FC41FC" w:rsidP="00252CFB">
      <w:r>
        <w:lastRenderedPageBreak/>
        <w:t>Mr Keher is a lawyer and experienced tribunal member. He has served as a full-time member of</w:t>
      </w:r>
      <w:r w:rsidR="00252CFB">
        <w:t xml:space="preserve"> </w:t>
      </w:r>
      <w:r>
        <w:t>the Refugee Review Tribunal – Migration Review Tribunal, and Administrative Appeals Tribunal,</w:t>
      </w:r>
      <w:r w:rsidR="00252CFB">
        <w:t xml:space="preserve"> </w:t>
      </w:r>
      <w:r>
        <w:t>and a part-time member of the Consumer, Trader and Tenancy Tribunal as well as a Senior</w:t>
      </w:r>
      <w:r w:rsidR="00252CFB">
        <w:t xml:space="preserve"> </w:t>
      </w:r>
      <w:r>
        <w:t>Member of the VRB from 2008 to 2012.</w:t>
      </w:r>
    </w:p>
    <w:p w:rsidR="00FC41FC" w:rsidRDefault="00FC41FC" w:rsidP="00797D64">
      <w:pPr>
        <w:pStyle w:val="BioName"/>
      </w:pPr>
      <w:r>
        <w:t>Ms Sandra Kerr</w:t>
      </w:r>
      <w:r w:rsidR="004267D9">
        <w:br/>
      </w:r>
      <w:r>
        <w:t>Member, VIC</w:t>
      </w:r>
    </w:p>
    <w:p w:rsidR="00FC41FC" w:rsidRDefault="00FC41FC" w:rsidP="004267D9">
      <w:r>
        <w:t>Ms Kerr has extensive experience as a member of Federal Tribunals having previously been</w:t>
      </w:r>
      <w:r w:rsidR="004267D9">
        <w:t xml:space="preserve"> </w:t>
      </w:r>
      <w:r>
        <w:t>appointed to the Migration Review Tribunal, Refugee Review Tribunal and Social Security Appeals</w:t>
      </w:r>
      <w:r w:rsidR="004267D9">
        <w:t xml:space="preserve"> </w:t>
      </w:r>
      <w:r>
        <w:t>Tribunal. She holds a Bachelor of Laws from the University of New South Wales and a Masters in</w:t>
      </w:r>
      <w:r w:rsidR="004267D9">
        <w:t xml:space="preserve"> </w:t>
      </w:r>
      <w:r>
        <w:t>Law from the Australian National University. Ms Kerr also has qualifications in Medical Imaging and</w:t>
      </w:r>
      <w:r w:rsidR="004267D9">
        <w:t xml:space="preserve"> </w:t>
      </w:r>
      <w:r>
        <w:t>Executive Leadership. She served as a Legal Officer in the Army Reserve and has family members</w:t>
      </w:r>
      <w:r w:rsidR="004267D9">
        <w:t xml:space="preserve"> </w:t>
      </w:r>
      <w:r>
        <w:t>who have participated in various Australian military operations.</w:t>
      </w:r>
    </w:p>
    <w:p w:rsidR="00FC41FC" w:rsidRDefault="00FC41FC" w:rsidP="00797D64">
      <w:pPr>
        <w:pStyle w:val="BioName"/>
      </w:pPr>
      <w:r>
        <w:t>Ms Hilary Kramer</w:t>
      </w:r>
      <w:r w:rsidR="004267D9">
        <w:br/>
      </w:r>
      <w:r>
        <w:t>Senior Member, NSW</w:t>
      </w:r>
    </w:p>
    <w:p w:rsidR="00FC41FC" w:rsidRDefault="00FC41FC" w:rsidP="004267D9">
      <w:r>
        <w:t>Ms Kramer is a graduate in Arts and Law. She is a part time member of the NSW Mental Health</w:t>
      </w:r>
      <w:r w:rsidR="004267D9">
        <w:t xml:space="preserve"> </w:t>
      </w:r>
      <w:r>
        <w:t>Review Tribunal and a former part time Legal Member of the Social Security Appeals Tribunal</w:t>
      </w:r>
      <w:r w:rsidR="004267D9">
        <w:t xml:space="preserve"> </w:t>
      </w:r>
      <w:r>
        <w:t>and the Guardianship Tribunal of NSW. She has practised as a Solicitor in private practice and</w:t>
      </w:r>
      <w:r w:rsidR="004267D9">
        <w:t xml:space="preserve"> </w:t>
      </w:r>
      <w:r>
        <w:t>for the Legal Aid Commission representing clients in criminal, prison and mental health law. She</w:t>
      </w:r>
      <w:r w:rsidR="004267D9">
        <w:t xml:space="preserve"> </w:t>
      </w:r>
      <w:r>
        <w:t>has conducted research with the New South Wales Bureau of Crime Statistics and Research</w:t>
      </w:r>
      <w:r w:rsidR="004267D9">
        <w:t xml:space="preserve"> </w:t>
      </w:r>
      <w:r>
        <w:t>and compiled the final report of the 26-member Women in Prison Task Force to the Minister for</w:t>
      </w:r>
      <w:r w:rsidR="004267D9">
        <w:t xml:space="preserve"> </w:t>
      </w:r>
      <w:r>
        <w:t>Corrective Services. She was appointed Member of the VRB in 1998 and Senior Member in 2006.</w:t>
      </w:r>
    </w:p>
    <w:p w:rsidR="00FC41FC" w:rsidRDefault="00FC41FC" w:rsidP="00797D64">
      <w:pPr>
        <w:pStyle w:val="BioName"/>
      </w:pPr>
      <w:r>
        <w:t>Ms Josephine Lumb</w:t>
      </w:r>
      <w:r w:rsidR="004267D9">
        <w:br/>
      </w:r>
      <w:r>
        <w:t>Member, ACT</w:t>
      </w:r>
    </w:p>
    <w:p w:rsidR="00FC41FC" w:rsidRDefault="00FC41FC" w:rsidP="004267D9">
      <w:r>
        <w:t>After graduating with a Bachelor of Law in 1998 Ms Lumb has undertaken legal work for the</w:t>
      </w:r>
      <w:r w:rsidR="004267D9">
        <w:t xml:space="preserve"> </w:t>
      </w:r>
      <w:r>
        <w:t>Department of Foreign Affairs and Trade, Civil Aviation Safety Authority, the Attorney-General’s</w:t>
      </w:r>
      <w:r w:rsidR="004267D9">
        <w:t xml:space="preserve"> </w:t>
      </w:r>
      <w:r>
        <w:t>Department and the Therapeutic Goods Administration. She currently holds the specialist position</w:t>
      </w:r>
      <w:r w:rsidR="004267D9">
        <w:t xml:space="preserve"> </w:t>
      </w:r>
      <w:r>
        <w:t>of Legal Technical Writer at the Therapeutic Goods Administration.</w:t>
      </w:r>
    </w:p>
    <w:p w:rsidR="00FC41FC" w:rsidRDefault="00FC41FC" w:rsidP="00797D64">
      <w:pPr>
        <w:pStyle w:val="BioName"/>
      </w:pPr>
      <w:r>
        <w:t>Colonel Peter Maher</w:t>
      </w:r>
      <w:r w:rsidR="004267D9">
        <w:br/>
      </w:r>
      <w:r>
        <w:t>Services Member, QLD</w:t>
      </w:r>
    </w:p>
    <w:p w:rsidR="00FC41FC" w:rsidRDefault="00FC41FC" w:rsidP="004267D9">
      <w:r>
        <w:t>Colonel Maher graduated from the Royal Military College, Duntroon in 1973. He holds a Bachelor</w:t>
      </w:r>
      <w:r w:rsidR="004267D9">
        <w:t xml:space="preserve"> </w:t>
      </w:r>
      <w:r>
        <w:t>of Arts in Military Studies and a Graduate Diploma in Management Studies, and he is a 1984</w:t>
      </w:r>
      <w:r w:rsidR="004267D9">
        <w:t xml:space="preserve"> </w:t>
      </w:r>
      <w:r>
        <w:t>graduate of the Command and Staff College, Queenscliff. Colonel Maher has overseas service</w:t>
      </w:r>
      <w:r w:rsidR="004267D9">
        <w:t xml:space="preserve"> </w:t>
      </w:r>
      <w:r>
        <w:t>with the United Nations in Kashmir, the British Army in Germany and the United States Marine</w:t>
      </w:r>
      <w:r w:rsidR="004267D9">
        <w:t xml:space="preserve"> </w:t>
      </w:r>
      <w:r>
        <w:t>Corps at Quantico, Virginia. He was the Deputy Chief of Operations, HQ Multi-National Security</w:t>
      </w:r>
      <w:r w:rsidR="004267D9">
        <w:t xml:space="preserve"> </w:t>
      </w:r>
      <w:r>
        <w:t>Transition Command in Baghdad, Iraq in 2006. He complete his Army full-time service in 2007 as</w:t>
      </w:r>
      <w:r w:rsidR="004267D9">
        <w:t xml:space="preserve"> </w:t>
      </w:r>
      <w:r>
        <w:t>the Commander, Land Warfare Centre, Canungra. Colonel Maher was appointed to the VRB in</w:t>
      </w:r>
      <w:r w:rsidR="004267D9">
        <w:t xml:space="preserve"> </w:t>
      </w:r>
      <w:r>
        <w:t>March 2013.</w:t>
      </w:r>
    </w:p>
    <w:p w:rsidR="00FC41FC" w:rsidRDefault="00FC41FC" w:rsidP="00797D64">
      <w:pPr>
        <w:pStyle w:val="BioName"/>
      </w:pPr>
      <w:r>
        <w:t>Mrs June McPhie</w:t>
      </w:r>
      <w:r w:rsidR="004267D9">
        <w:br/>
      </w:r>
      <w:r>
        <w:t>Senior Member, ACT</w:t>
      </w:r>
    </w:p>
    <w:p w:rsidR="00FC41FC" w:rsidRDefault="00FC41FC" w:rsidP="004267D9">
      <w:r>
        <w:t>Mrs McPhie is a Law graduate with a postgraduate Master of Laws and professional qualifications</w:t>
      </w:r>
      <w:r w:rsidR="004267D9">
        <w:t xml:space="preserve"> </w:t>
      </w:r>
      <w:r>
        <w:t>in Mediation and Physiotherapy. Since 2000 she has been a Director of the University of Sydney</w:t>
      </w:r>
      <w:r w:rsidR="004267D9">
        <w:t xml:space="preserve"> </w:t>
      </w:r>
      <w:r>
        <w:t>Law Extension Committee and Member of the Board for the Faculty of Law at both the University</w:t>
      </w:r>
      <w:r w:rsidR="004267D9">
        <w:t xml:space="preserve"> </w:t>
      </w:r>
      <w:r>
        <w:t>of Sydney and the University of Technology. Having previously served as the President of the Law</w:t>
      </w:r>
      <w:r w:rsidR="004267D9">
        <w:t xml:space="preserve"> </w:t>
      </w:r>
      <w:r>
        <w:t>Society she is currently a Member of their Professional Conduct Committee. She has also been</w:t>
      </w:r>
      <w:r w:rsidR="004267D9">
        <w:t xml:space="preserve"> </w:t>
      </w:r>
      <w:r>
        <w:t>working as the Principal Cost Assessor for the Supreme Court of NSW since 2010.</w:t>
      </w:r>
    </w:p>
    <w:p w:rsidR="00FC41FC" w:rsidRDefault="00FC41FC" w:rsidP="00797D64">
      <w:pPr>
        <w:pStyle w:val="BioName"/>
      </w:pPr>
      <w:r>
        <w:lastRenderedPageBreak/>
        <w:t>Ms Jillian Moir</w:t>
      </w:r>
      <w:r w:rsidR="004267D9">
        <w:br/>
      </w:r>
      <w:r>
        <w:t>Senior Member, NSW</w:t>
      </w:r>
    </w:p>
    <w:p w:rsidR="00FC41FC" w:rsidRDefault="00FC41FC" w:rsidP="004267D9">
      <w:r>
        <w:t>Ms Moir graduated in 1991 with a Bachelor of Arts (Hons) and Law from Macquarie University</w:t>
      </w:r>
      <w:r w:rsidR="004267D9">
        <w:t xml:space="preserve"> </w:t>
      </w:r>
      <w:r>
        <w:t>and was admitted as a solicitor of the Supreme Court of NSW in 1993. She also has a Bachelor</w:t>
      </w:r>
      <w:r w:rsidR="004267D9">
        <w:t xml:space="preserve"> </w:t>
      </w:r>
      <w:r>
        <w:t>Science (Psychology) from Wollongong University. Ms Moir has many years’ experience in</w:t>
      </w:r>
      <w:r w:rsidR="004267D9">
        <w:t xml:space="preserve"> </w:t>
      </w:r>
      <w:r>
        <w:t>mediation and conciliation in a number of jurisdiction</w:t>
      </w:r>
      <w:r w:rsidR="00660120">
        <w:t>s</w:t>
      </w:r>
      <w:r w:rsidR="00660120">
        <w:fldChar w:fldCharType="begin"/>
      </w:r>
      <w:r w:rsidR="00660120">
        <w:instrText xml:space="preserve"> XE "</w:instrText>
      </w:r>
      <w:r w:rsidR="00660120" w:rsidRPr="003924C2">
        <w:instrText>jurisdiction</w:instrText>
      </w:r>
      <w:r w:rsidR="00660120">
        <w:instrText xml:space="preserve">" </w:instrText>
      </w:r>
      <w:r w:rsidR="00660120">
        <w:fldChar w:fldCharType="end"/>
      </w:r>
      <w:r>
        <w:t>. In addition to her role at the VRB she is a</w:t>
      </w:r>
      <w:r w:rsidR="004267D9">
        <w:t xml:space="preserve"> </w:t>
      </w:r>
      <w:r>
        <w:t>part-time Senior member (legal) and mediator at the NSW Civil and Administrative Tribunal (NCAT),</w:t>
      </w:r>
      <w:r w:rsidR="004267D9">
        <w:t xml:space="preserve"> </w:t>
      </w:r>
      <w:r>
        <w:t>a part-time Legal Member of the Social Security Appeals Tribunal, and a Presiding Member of the</w:t>
      </w:r>
      <w:r w:rsidR="004267D9">
        <w:t xml:space="preserve"> </w:t>
      </w:r>
      <w:r>
        <w:t>NSW Housing Appeals Committee.</w:t>
      </w:r>
    </w:p>
    <w:p w:rsidR="00FC41FC" w:rsidRDefault="00FC41FC" w:rsidP="00797D64">
      <w:pPr>
        <w:pStyle w:val="BioName"/>
      </w:pPr>
      <w:r>
        <w:t>Colonel Robin Regan CSC (Ret’d)</w:t>
      </w:r>
      <w:r w:rsidR="004267D9">
        <w:br/>
      </w:r>
      <w:r>
        <w:t>Services Member, VIC</w:t>
      </w:r>
    </w:p>
    <w:p w:rsidR="00FC41FC" w:rsidRDefault="00FC41FC" w:rsidP="004267D9">
      <w:r>
        <w:t>Colonel Regan (Ret’d) served in the Australian Army for 34 years including active service in</w:t>
      </w:r>
      <w:r w:rsidR="004267D9">
        <w:t xml:space="preserve"> </w:t>
      </w:r>
      <w:r>
        <w:t>South Vietnam. He was awarded the Conspicuous Service Cross and Deputy Chief of Army</w:t>
      </w:r>
      <w:r w:rsidR="004267D9">
        <w:t xml:space="preserve"> </w:t>
      </w:r>
      <w:r>
        <w:t>Commendation. He has previously been an advocate for the Returned and Services League of</w:t>
      </w:r>
      <w:r w:rsidR="004267D9">
        <w:t xml:space="preserve"> </w:t>
      </w:r>
      <w:r>
        <w:t>Victoria. Colonel Regan (Rtd) was appointed a Services Member of the VRB in 1999.</w:t>
      </w:r>
    </w:p>
    <w:p w:rsidR="00FC41FC" w:rsidRDefault="00FC41FC" w:rsidP="00797D64">
      <w:pPr>
        <w:pStyle w:val="BioName"/>
      </w:pPr>
      <w:r>
        <w:t>Mr Francis Roberts</w:t>
      </w:r>
      <w:r w:rsidR="004267D9">
        <w:br/>
      </w:r>
      <w:r>
        <w:t>Services Member, QLD</w:t>
      </w:r>
    </w:p>
    <w:p w:rsidR="00FC41FC" w:rsidRDefault="00FC41FC" w:rsidP="004267D9">
      <w:r>
        <w:t>Mr Roberts served as an Army Officer from 1970 to 2005. He then held a Senior Executive</w:t>
      </w:r>
      <w:r w:rsidR="004267D9">
        <w:t xml:space="preserve"> </w:t>
      </w:r>
      <w:r>
        <w:t>Service position in the Department of Defence from 2005 until 2013 before undertaking private</w:t>
      </w:r>
      <w:r w:rsidR="004267D9">
        <w:t xml:space="preserve"> </w:t>
      </w:r>
      <w:r>
        <w:t>consultancy work until his retirement in 2014. Mr Roberts has graduated with a Bachelor of Civil</w:t>
      </w:r>
      <w:r w:rsidR="004267D9">
        <w:t xml:space="preserve"> </w:t>
      </w:r>
      <w:r>
        <w:t>Engineering, Master of Science and Graduate Diploma in Management Studies.</w:t>
      </w:r>
    </w:p>
    <w:p w:rsidR="00FC41FC" w:rsidRDefault="00FC41FC" w:rsidP="00797D64">
      <w:pPr>
        <w:pStyle w:val="BioName"/>
      </w:pPr>
      <w:r>
        <w:t>Commander Iain Alexander Whitehouse (Ret’d)</w:t>
      </w:r>
      <w:r w:rsidR="004267D9">
        <w:br/>
      </w:r>
      <w:r>
        <w:t>Services Member, QLD</w:t>
      </w:r>
    </w:p>
    <w:p w:rsidR="00FC41FC" w:rsidRDefault="00FC41FC" w:rsidP="004267D9">
      <w:r>
        <w:t>Commander Whitehouse (Ret’d) served for 27 years in the Royal Australian Navy until transferring</w:t>
      </w:r>
      <w:r w:rsidR="004267D9">
        <w:t xml:space="preserve"> </w:t>
      </w:r>
      <w:r>
        <w:t>in 1998 to the Maritime Safety Queensland as Manager of Maritime Safety (Gold Coast). Iain’s</w:t>
      </w:r>
      <w:r w:rsidR="004267D9">
        <w:t xml:space="preserve"> </w:t>
      </w:r>
      <w:r>
        <w:t>seagoing appointments include a variety of ships operating in global waters. His operational</w:t>
      </w:r>
      <w:r w:rsidR="004267D9">
        <w:t xml:space="preserve"> </w:t>
      </w:r>
      <w:r>
        <w:t>background is primarily in patrol boats and guided missile destroyers, with command experience</w:t>
      </w:r>
      <w:r w:rsidR="004267D9">
        <w:t xml:space="preserve"> </w:t>
      </w:r>
      <w:r>
        <w:t>of a PNG Patrol Boat based at Manus Island. In 2007 Iain established a maritime consultancy</w:t>
      </w:r>
      <w:r w:rsidR="004267D9">
        <w:t xml:space="preserve"> </w:t>
      </w:r>
      <w:r>
        <w:t>business on the Gold Coast and is involved in advising ship operators on safe material and</w:t>
      </w:r>
      <w:r w:rsidR="004267D9">
        <w:t xml:space="preserve"> </w:t>
      </w:r>
      <w:r>
        <w:t>operational standards. Iain was appointed to the VRB as a services Member in 2011.</w:t>
      </w:r>
    </w:p>
    <w:p w:rsidR="00FC41FC" w:rsidRDefault="00FC41FC" w:rsidP="00797D64">
      <w:pPr>
        <w:pStyle w:val="BioName"/>
      </w:pPr>
      <w:r>
        <w:t>Ms Tammy Williams</w:t>
      </w:r>
      <w:r w:rsidR="004267D9">
        <w:br/>
      </w:r>
      <w:r>
        <w:t>Senior Member, QLD</w:t>
      </w:r>
    </w:p>
    <w:p w:rsidR="00FC41FC" w:rsidRDefault="00FC41FC" w:rsidP="00C84C68">
      <w:r>
        <w:t>Ms Williams has graduated with a Bachelor of Laws and was admitted in 2002 as a barrister. She</w:t>
      </w:r>
      <w:r w:rsidR="00C84C68">
        <w:t xml:space="preserve"> </w:t>
      </w:r>
      <w:r>
        <w:t>began her legal career at the Commonwealth Director of Public Prosecutions in 1997. She has</w:t>
      </w:r>
      <w:r w:rsidR="00C84C68">
        <w:t xml:space="preserve"> </w:t>
      </w:r>
      <w:r>
        <w:t>served as a Member of the National Indigenous Council and National Human Rights Consultation</w:t>
      </w:r>
      <w:r w:rsidR="00C84C68">
        <w:t xml:space="preserve"> </w:t>
      </w:r>
      <w:r>
        <w:t>Committee before moving into Tribunal work in 2008 with the Children Services Tribunal. She has</w:t>
      </w:r>
      <w:r w:rsidR="00C84C68">
        <w:t xml:space="preserve"> </w:t>
      </w:r>
      <w:r>
        <w:t>been a Sessional Member of the Queensland Civil and Administration Tribunal (QCAT) since 2009.</w:t>
      </w:r>
    </w:p>
    <w:p w:rsidR="00FC41FC" w:rsidRDefault="00FC41FC" w:rsidP="00797D64">
      <w:pPr>
        <w:pStyle w:val="BioName"/>
      </w:pPr>
      <w:r>
        <w:t>Air Commodore Bruce Wood (Ret’d)</w:t>
      </w:r>
      <w:r w:rsidR="00C84C68">
        <w:br/>
      </w:r>
      <w:r>
        <w:t>Services Member, NSW</w:t>
      </w:r>
    </w:p>
    <w:p w:rsidR="00FC41FC" w:rsidRDefault="00FC41FC" w:rsidP="00C84C68">
      <w:r>
        <w:t>Air Commodore Wood (Ret’d) served in the Royal Australian Air Force for 35 years which included</w:t>
      </w:r>
      <w:r w:rsidR="00C84C68">
        <w:t xml:space="preserve"> </w:t>
      </w:r>
      <w:r>
        <w:t>a posting in Ubon, Thailand during the Vietnam War flying Sabre aircraft, and later a tour in South</w:t>
      </w:r>
      <w:r w:rsidR="00C84C68">
        <w:t xml:space="preserve"> </w:t>
      </w:r>
      <w:r>
        <w:t>Vietnam as a Forward Air Controller working with the US Army 25th Infantry Division. Towards the</w:t>
      </w:r>
      <w:r w:rsidR="00C84C68">
        <w:t xml:space="preserve"> </w:t>
      </w:r>
      <w:r>
        <w:t>latter part of his Air Force career he was the Air Attaché in Washington DC and his last posting</w:t>
      </w:r>
      <w:r w:rsidR="00C84C68">
        <w:t xml:space="preserve"> </w:t>
      </w:r>
      <w:r>
        <w:t>before retirement was as Combined Air Component Commander INTERFET and Commander of</w:t>
      </w:r>
      <w:r w:rsidR="00C84C68">
        <w:t xml:space="preserve"> </w:t>
      </w:r>
      <w:r>
        <w:t>the Australian Contingent, in East Timor. He is still a member of the RAAF Reserve Staff Group</w:t>
      </w:r>
      <w:r w:rsidR="00C84C68">
        <w:t xml:space="preserve"> </w:t>
      </w:r>
      <w:r>
        <w:t>and was appointed a Services Member of the VRB in 2006.</w:t>
      </w:r>
    </w:p>
    <w:p w:rsidR="00FC41FC" w:rsidRDefault="00FC41FC" w:rsidP="00797D64">
      <w:pPr>
        <w:pStyle w:val="BioName"/>
      </w:pPr>
      <w:r>
        <w:lastRenderedPageBreak/>
        <w:t>Mr Christopher Wray</w:t>
      </w:r>
      <w:r w:rsidR="00C84C68">
        <w:br/>
      </w:r>
      <w:r>
        <w:t>Senior Member, VIC</w:t>
      </w:r>
    </w:p>
    <w:p w:rsidR="00FC41FC" w:rsidRDefault="00FC41FC" w:rsidP="00C84C68">
      <w:r>
        <w:t>Mr Wray is a graduate in Law with a post graduate diploma in Art History. He is a selfemployed</w:t>
      </w:r>
      <w:r w:rsidR="00C84C68">
        <w:t xml:space="preserve"> </w:t>
      </w:r>
      <w:r>
        <w:t>solicitor and has an extensive history of employment as a senior associate, partner and sole</w:t>
      </w:r>
      <w:r w:rsidR="00C84C68">
        <w:t xml:space="preserve"> </w:t>
      </w:r>
      <w:r>
        <w:t>principle in law firms in Melbourne and Perth. He has lectured in legal studies and has authored</w:t>
      </w:r>
      <w:r w:rsidR="00C84C68">
        <w:t xml:space="preserve"> </w:t>
      </w:r>
      <w:r>
        <w:t>publications</w:t>
      </w:r>
      <w:r w:rsidR="001D1DCA">
        <w:fldChar w:fldCharType="begin"/>
      </w:r>
      <w:r w:rsidR="001D1DCA">
        <w:instrText xml:space="preserve"> XE "</w:instrText>
      </w:r>
      <w:r w:rsidR="001D1DCA" w:rsidRPr="002D7689">
        <w:instrText>publications</w:instrText>
      </w:r>
      <w:r w:rsidR="001D1DCA">
        <w:instrText xml:space="preserve">" </w:instrText>
      </w:r>
      <w:r w:rsidR="001D1DCA">
        <w:fldChar w:fldCharType="end"/>
      </w:r>
      <w:r>
        <w:t xml:space="preserve"> relating to Australian Military History.</w:t>
      </w:r>
    </w:p>
    <w:p w:rsidR="00FC41FC" w:rsidRDefault="00FC41FC" w:rsidP="00797D64">
      <w:pPr>
        <w:pStyle w:val="BioName"/>
      </w:pPr>
      <w:r>
        <w:t>Mr Neville Wyatt</w:t>
      </w:r>
      <w:r w:rsidR="00C84C68">
        <w:br/>
      </w:r>
      <w:r>
        <w:t>Member, NSW</w:t>
      </w:r>
    </w:p>
    <w:p w:rsidR="00FC41FC" w:rsidRDefault="00FC41FC" w:rsidP="00C84C68">
      <w:r>
        <w:t>Mr Wyatt served full-time in the Royal Australian Navy from 1981 to 1993. Since then he has</w:t>
      </w:r>
      <w:r w:rsidR="00C84C68">
        <w:t xml:space="preserve"> </w:t>
      </w:r>
      <w:r>
        <w:t>continued to serve with the Royal Australian Navy Reserve. He is a graduate in Law and</w:t>
      </w:r>
      <w:r w:rsidR="00C84C68">
        <w:t xml:space="preserve"> </w:t>
      </w:r>
      <w:r>
        <w:t>Communications. Since 1993 he has been in practice as a private solicitor. In 1999 he started up</w:t>
      </w:r>
      <w:r w:rsidR="00C84C68">
        <w:t xml:space="preserve"> </w:t>
      </w:r>
      <w:r>
        <w:t>how own successful firm now known as Wyatts Lawyers and Advisors, which he continues to run</w:t>
      </w:r>
      <w:r w:rsidR="00C84C68">
        <w:t xml:space="preserve"> </w:t>
      </w:r>
      <w:r>
        <w:t>with his legal practitioner wife.</w:t>
      </w:r>
    </w:p>
    <w:p w:rsidR="00FC41FC" w:rsidRDefault="00FC41FC" w:rsidP="00797D64">
      <w:pPr>
        <w:pStyle w:val="BioName"/>
      </w:pPr>
      <w:r>
        <w:t>Colonel Leslie Young OAM (Ret’d)</w:t>
      </w:r>
      <w:r w:rsidR="00C84C68">
        <w:br/>
      </w:r>
      <w:r>
        <w:t>Senior Member, NSW</w:t>
      </w:r>
    </w:p>
    <w:p w:rsidR="00FC41FC" w:rsidRDefault="00FC41FC" w:rsidP="00C84C68">
      <w:r>
        <w:t>Colonel Young (Ret’d) has a Diploma in Law and a Diploma in Criminology. He served in the</w:t>
      </w:r>
      <w:r w:rsidR="00C84C68">
        <w:t xml:space="preserve"> </w:t>
      </w:r>
      <w:r>
        <w:t>Australian Army for 22 years holding appointments as Judge Advocate Administrator, Judge</w:t>
      </w:r>
      <w:r w:rsidR="00C84C68">
        <w:t xml:space="preserve"> </w:t>
      </w:r>
      <w:r>
        <w:t>Advocate, Defence Force Magistrate and Chief Legal Officer. In his capacity as a Judge Advocate</w:t>
      </w:r>
      <w:r w:rsidR="00C84C68">
        <w:t xml:space="preserve"> </w:t>
      </w:r>
      <w:r>
        <w:t>he sat on military trials in Somalia and Cambodia. Prior to his appointment as a Senior Member</w:t>
      </w:r>
      <w:r w:rsidR="00C84C68">
        <w:t xml:space="preserve"> </w:t>
      </w:r>
      <w:r>
        <w:t>of the VRB in 1997 he worked as a solicitor advocate which he continues to do on a part time</w:t>
      </w:r>
      <w:r w:rsidR="00C84C68">
        <w:t xml:space="preserve"> </w:t>
      </w:r>
      <w:r>
        <w:t>basis as a sole practitioner. Colonel Young was awarded a Medal of the Order of Australia (OAM)</w:t>
      </w:r>
      <w:r w:rsidR="00C84C68">
        <w:t xml:space="preserve"> </w:t>
      </w:r>
      <w:r>
        <w:t>in 2012.</w:t>
      </w:r>
    </w:p>
    <w:p w:rsidR="00FC41FC" w:rsidRDefault="00FC41FC" w:rsidP="00797D64">
      <w:pPr>
        <w:pStyle w:val="BioName"/>
      </w:pPr>
      <w:r>
        <w:t>Colonel Warwick Young</w:t>
      </w:r>
      <w:r w:rsidR="00C84C68">
        <w:br/>
      </w:r>
      <w:r>
        <w:t>Services Member, NSW</w:t>
      </w:r>
    </w:p>
    <w:p w:rsidR="00FC41FC" w:rsidRDefault="00FC41FC" w:rsidP="00C84C68">
      <w:r>
        <w:t>Colonel Young is an Army Officer in the Australian Defence Force and has been since 1992. Major</w:t>
      </w:r>
      <w:r w:rsidR="00C84C68">
        <w:t xml:space="preserve"> </w:t>
      </w:r>
      <w:r>
        <w:t>Young saw active service in Iraq in 2006. He was appointed a Services Member of the VRB in</w:t>
      </w:r>
      <w:r w:rsidR="00C84C68">
        <w:t xml:space="preserve"> </w:t>
      </w:r>
      <w:r>
        <w:t>2008.</w:t>
      </w:r>
    </w:p>
    <w:p w:rsidR="00FC41FC" w:rsidRDefault="00FC41FC" w:rsidP="00FC41FC">
      <w:pPr>
        <w:pStyle w:val="Heading1"/>
        <w:pageBreakBefore/>
      </w:pPr>
      <w:bookmarkStart w:id="36" w:name="_Toc532322373"/>
      <w:bookmarkEnd w:id="35"/>
      <w:r>
        <w:lastRenderedPageBreak/>
        <w:t>Appendix 5</w:t>
      </w:r>
      <w:bookmarkEnd w:id="36"/>
    </w:p>
    <w:p w:rsidR="00FC41FC" w:rsidRDefault="00FC41FC" w:rsidP="00FC41FC">
      <w:pPr>
        <w:pStyle w:val="Heading3"/>
      </w:pPr>
      <w:r>
        <w:t>Information Publication Scheme Statement</w:t>
      </w:r>
    </w:p>
    <w:p w:rsidR="00FC41FC" w:rsidRDefault="00FC41FC" w:rsidP="00FC41FC">
      <w:pPr>
        <w:pStyle w:val="Heading4"/>
      </w:pPr>
      <w:r>
        <w:t>FOI Statement</w:t>
      </w:r>
    </w:p>
    <w:p w:rsidR="00FC41FC" w:rsidRDefault="00FC41FC" w:rsidP="00FC41FC">
      <w:r>
        <w:t xml:space="preserve">Section 8 of the </w:t>
      </w:r>
      <w:r w:rsidRPr="00FC41FC">
        <w:rPr>
          <w:i/>
        </w:rPr>
        <w:t>Freedom of Information Act 1982</w:t>
      </w:r>
      <w:r>
        <w:rPr>
          <w:rFonts w:ascii="HelveticaNeueLTStd-LtIt" w:hAnsi="HelveticaNeueLTStd-LtIt" w:cs="HelveticaNeueLTStd-LtIt"/>
          <w:i/>
          <w:iCs/>
        </w:rPr>
        <w:t xml:space="preserve"> </w:t>
      </w:r>
      <w:r>
        <w:t>(FOI) requires the VRB to include within its Annual Report certain information relating to its organisation and function, powers, document holdings and procedures</w:t>
      </w:r>
      <w:r w:rsidR="001D1DCA">
        <w:fldChar w:fldCharType="begin"/>
      </w:r>
      <w:r w:rsidR="001D1DCA">
        <w:instrText xml:space="preserve"> XE "</w:instrText>
      </w:r>
      <w:r w:rsidR="001D1DCA" w:rsidRPr="002D7689">
        <w:instrText>procedures</w:instrText>
      </w:r>
      <w:r w:rsidR="001D1DCA">
        <w:instrText xml:space="preserve">" </w:instrText>
      </w:r>
      <w:r w:rsidR="001D1DCA">
        <w:fldChar w:fldCharType="end"/>
      </w:r>
      <w:r>
        <w:t xml:space="preserve"> for access thereto, and any arrangements that may exist for persons outside the Commonwealth to participate in policy making or administration of the VRB.</w:t>
      </w:r>
    </w:p>
    <w:p w:rsidR="00D824C7" w:rsidRDefault="00D824C7" w:rsidP="00E95825">
      <w:r>
        <w:t>The VRB is subject to the amended FOI Act and will continue to publish information in</w:t>
      </w:r>
      <w:r w:rsidR="00FD3C51">
        <w:t xml:space="preserve"> </w:t>
      </w:r>
      <w:r>
        <w:t>accordance with the Information Publication Scheme (IPS) provisions of the Act. Details of the</w:t>
      </w:r>
      <w:r w:rsidR="00FD3C51">
        <w:t xml:space="preserve"> </w:t>
      </w:r>
      <w:r>
        <w:t>Board’s compliance with the FOI Act and the IPS provisions are available on its website under</w:t>
      </w:r>
      <w:r w:rsidR="00FD3C51">
        <w:t xml:space="preserve"> </w:t>
      </w:r>
      <w:r>
        <w:t>http://www.vrb.gov.au/ips.htm</w:t>
      </w:r>
    </w:p>
    <w:p w:rsidR="00D824C7" w:rsidRDefault="00D824C7" w:rsidP="00E95825">
      <w:r>
        <w:t>The VRB had seven FOI requests in 2017-2018.</w:t>
      </w:r>
    </w:p>
    <w:p w:rsidR="00D824C7" w:rsidRDefault="00D824C7" w:rsidP="00E95825">
      <w:pPr>
        <w:pStyle w:val="Heading4"/>
      </w:pPr>
      <w:bookmarkStart w:id="37" w:name="TOC_powers"/>
      <w:r>
        <w:t>Powers of the VRB</w:t>
      </w:r>
      <w:r w:rsidR="001D1DCA">
        <w:fldChar w:fldCharType="begin"/>
      </w:r>
      <w:r w:rsidR="001D1DCA">
        <w:instrText xml:space="preserve"> XE "</w:instrText>
      </w:r>
      <w:r w:rsidR="001D1DCA" w:rsidRPr="003924C2">
        <w:instrText>powers</w:instrText>
      </w:r>
      <w:r w:rsidR="001D1DCA">
        <w:instrText xml:space="preserve">" \r "TOC_powers" </w:instrText>
      </w:r>
      <w:r w:rsidR="001D1DCA">
        <w:fldChar w:fldCharType="end"/>
      </w:r>
    </w:p>
    <w:p w:rsidR="00D824C7" w:rsidRDefault="00D824C7" w:rsidP="00E95825">
      <w:r>
        <w:t>The powers of the VRB are set out in the VEA, and are modified by s353 of the MRCA when</w:t>
      </w:r>
      <w:r w:rsidR="00FD3C51">
        <w:t xml:space="preserve"> </w:t>
      </w:r>
      <w:r>
        <w:t xml:space="preserve">the VRB conducts reviews under that Act or the </w:t>
      </w:r>
      <w:r w:rsidRPr="00E95825">
        <w:rPr>
          <w:i/>
        </w:rPr>
        <w:t>Military Rehabilitation and Compensation</w:t>
      </w:r>
      <w:r w:rsidR="00FD3C51" w:rsidRPr="00E95825">
        <w:rPr>
          <w:i/>
        </w:rPr>
        <w:t xml:space="preserve"> </w:t>
      </w:r>
      <w:r w:rsidRPr="00E95825">
        <w:rPr>
          <w:i/>
        </w:rPr>
        <w:t>(Consequential and Transitional Provisions) Act 2004</w:t>
      </w:r>
      <w:r>
        <w:t>.</w:t>
      </w:r>
    </w:p>
    <w:p w:rsidR="00D824C7" w:rsidRDefault="00D824C7" w:rsidP="00E95825">
      <w:r>
        <w:t xml:space="preserve">The VEA and the MRCA have just been amended by the </w:t>
      </w:r>
      <w:r w:rsidRPr="00E95825">
        <w:rPr>
          <w:i/>
        </w:rPr>
        <w:t>Veterans’ Affairs Legislation Amendment</w:t>
      </w:r>
      <w:r w:rsidR="00FD3C51" w:rsidRPr="00E95825">
        <w:rPr>
          <w:i/>
        </w:rPr>
        <w:t xml:space="preserve"> </w:t>
      </w:r>
      <w:r w:rsidRPr="00E95825">
        <w:rPr>
          <w:i/>
        </w:rPr>
        <w:t>(Mental Health and Other Measures) Act 2014</w:t>
      </w:r>
      <w:r>
        <w:t>. These amendments have granted the VRB</w:t>
      </w:r>
      <w:r w:rsidR="00FD3C51">
        <w:t xml:space="preserve"> </w:t>
      </w:r>
      <w:r>
        <w:t>additional operational powers; including providing for a full suite of Alternative Dispute Resolution</w:t>
      </w:r>
      <w:r w:rsidR="00EC32B8">
        <w:fldChar w:fldCharType="begin"/>
      </w:r>
      <w:r w:rsidR="00EC32B8">
        <w:instrText xml:space="preserve"> XE "</w:instrText>
      </w:r>
      <w:r w:rsidR="00EC32B8" w:rsidRPr="003924C2">
        <w:instrText>alternative dispute resolution</w:instrText>
      </w:r>
      <w:r w:rsidR="00EC32B8">
        <w:instrText xml:space="preserve">" </w:instrText>
      </w:r>
      <w:r w:rsidR="00EC32B8">
        <w:fldChar w:fldCharType="end"/>
      </w:r>
      <w:r w:rsidR="00FD3C51">
        <w:t xml:space="preserve"> </w:t>
      </w:r>
      <w:r>
        <w:t>processes and enhanced case management powers.</w:t>
      </w:r>
    </w:p>
    <w:p w:rsidR="00D824C7" w:rsidRDefault="00D824C7" w:rsidP="00D824C7">
      <w:r>
        <w:t>In conducting a review of a decision, the VRB may, by s139(3) of the VEA, exercise all the powers and discretions of the primary decision-maker. For the purpose of the conduct of a review, the VRB also has the following specific powers conferred on it by the VEA:</w:t>
      </w:r>
    </w:p>
    <w:p w:rsidR="00D824C7" w:rsidRDefault="00D824C7" w:rsidP="00D824C7">
      <w:pPr>
        <w:pStyle w:val="Bullet"/>
      </w:pPr>
      <w:r>
        <w:t>Subsection 138A – the VRB may, at any stage of a review of a decision of the Commission, remit the decision to the Commission for the Commission to reconsider the decision</w:t>
      </w:r>
    </w:p>
    <w:p w:rsidR="00D824C7" w:rsidRDefault="00D824C7" w:rsidP="00D824C7">
      <w:pPr>
        <w:pStyle w:val="Bullet"/>
      </w:pPr>
      <w:r>
        <w:t>subsection 139(3) – the VRB may affirm, vary or set aside a decision or determination and, if it sets aside the decision or determination under review, it may substitute its own decision or determination and/or remit the matter/s to the Commission</w:t>
      </w:r>
    </w:p>
    <w:p w:rsidR="00D824C7" w:rsidRDefault="00D824C7" w:rsidP="00D824C7">
      <w:pPr>
        <w:pStyle w:val="Bullet"/>
      </w:pPr>
      <w:r>
        <w:t>subsection 140A(1) – the VRB may give directions to the National Registrar</w:t>
      </w:r>
      <w:r w:rsidR="0018474C">
        <w:fldChar w:fldCharType="begin"/>
      </w:r>
      <w:r w:rsidR="0018474C">
        <w:instrText xml:space="preserve"> XE "</w:instrText>
      </w:r>
      <w:r w:rsidR="0018474C" w:rsidRPr="003924C2">
        <w:instrText>National Registrar</w:instrText>
      </w:r>
      <w:r w:rsidR="0018474C">
        <w:instrText xml:space="preserve">" </w:instrText>
      </w:r>
      <w:r w:rsidR="0018474C">
        <w:fldChar w:fldCharType="end"/>
      </w:r>
      <w:r>
        <w:t>, a Registrar</w:t>
      </w:r>
      <w:r w:rsidR="001D1DCA">
        <w:fldChar w:fldCharType="begin"/>
      </w:r>
      <w:r w:rsidR="001D1DCA">
        <w:instrText xml:space="preserve"> XE "</w:instrText>
      </w:r>
      <w:r w:rsidR="001D1DCA" w:rsidRPr="002D7689">
        <w:instrText>Registrars</w:instrText>
      </w:r>
      <w:r w:rsidR="001D1DCA">
        <w:instrText xml:space="preserve">" </w:instrText>
      </w:r>
      <w:r w:rsidR="001D1DCA">
        <w:fldChar w:fldCharType="end"/>
      </w:r>
      <w:r>
        <w:t xml:space="preserve"> or Deputy Registrar to alter the text of a decision or determination or statement of reasons</w:t>
      </w:r>
      <w:r w:rsidR="001D1DCA">
        <w:fldChar w:fldCharType="begin"/>
      </w:r>
      <w:r w:rsidR="001D1DCA">
        <w:instrText xml:space="preserve"> XE "</w:instrText>
      </w:r>
      <w:r w:rsidR="001D1DCA" w:rsidRPr="002D7689">
        <w:instrText>reasons</w:instrText>
      </w:r>
      <w:r w:rsidR="001D1DCA">
        <w:instrText xml:space="preserve">" </w:instrText>
      </w:r>
      <w:r w:rsidR="001D1DCA">
        <w:fldChar w:fldCharType="end"/>
      </w:r>
      <w:r>
        <w:t xml:space="preserve"> if it is satisfied that there has been an obvious error in the text</w:t>
      </w:r>
    </w:p>
    <w:p w:rsidR="00D824C7" w:rsidRDefault="00D824C7" w:rsidP="00D824C7">
      <w:pPr>
        <w:pStyle w:val="Bullet"/>
      </w:pPr>
      <w:bookmarkStart w:id="38" w:name="TOC_prinipalMemb"/>
      <w:r>
        <w:t>subsection 140A(4) – the Principal Member</w:t>
      </w:r>
      <w:r w:rsidR="001D1DCA">
        <w:fldChar w:fldCharType="begin"/>
      </w:r>
      <w:r w:rsidR="001D1DCA">
        <w:instrText xml:space="preserve"> XE "</w:instrText>
      </w:r>
      <w:r w:rsidR="001D1DCA" w:rsidRPr="002D7689">
        <w:instrText>Principal Member</w:instrText>
      </w:r>
      <w:r w:rsidR="001D1DCA">
        <w:instrText xml:space="preserve">" \r "TOC_prinipalMemb" </w:instrText>
      </w:r>
      <w:r w:rsidR="001D1DCA">
        <w:fldChar w:fldCharType="end"/>
      </w:r>
      <w:r>
        <w:t xml:space="preserve"> or a presiding member may exercise the powers of the VRB in subsection 140A(1)</w:t>
      </w:r>
    </w:p>
    <w:p w:rsidR="00D824C7" w:rsidRDefault="00D824C7" w:rsidP="00D824C7">
      <w:pPr>
        <w:pStyle w:val="Bullet"/>
      </w:pPr>
      <w:r>
        <w:t>subsection 142(2) – the Principal Member may give written directions as to the operations and procedure of the VRB, the conduct of reviews by the VRB, the arrangement of the business of the VRB and the places in Australia at which the VRB may sit sections 143 and 144 – the Principal Member may give directions in writing as to the members who are to constitute the VRB for the purposes of reviews to be conducted by it</w:t>
      </w:r>
    </w:p>
    <w:p w:rsidR="00D824C7" w:rsidRDefault="00D824C7" w:rsidP="00D824C7">
      <w:pPr>
        <w:pStyle w:val="Bullet"/>
      </w:pPr>
      <w:r>
        <w:lastRenderedPageBreak/>
        <w:t>section 145A – the Principal Member may refer a review for a conference between the parties or their representatives</w:t>
      </w:r>
      <w:r w:rsidR="0005789C">
        <w:fldChar w:fldCharType="begin"/>
      </w:r>
      <w:r w:rsidR="0005789C">
        <w:instrText xml:space="preserve"> XE "</w:instrText>
      </w:r>
      <w:r w:rsidR="0005789C" w:rsidRPr="002D7689">
        <w:instrText>representatives</w:instrText>
      </w:r>
      <w:r w:rsidR="0005789C">
        <w:instrText xml:space="preserve">" </w:instrText>
      </w:r>
      <w:r w:rsidR="0005789C">
        <w:fldChar w:fldCharType="end"/>
      </w:r>
      <w:r>
        <w:t>, or another alternative dispute resolution</w:t>
      </w:r>
      <w:r w:rsidR="00EC32B8">
        <w:fldChar w:fldCharType="begin"/>
      </w:r>
      <w:r w:rsidR="00EC32B8">
        <w:instrText xml:space="preserve"> XE "</w:instrText>
      </w:r>
      <w:r w:rsidR="00EC32B8" w:rsidRPr="003924C2">
        <w:instrText>alternative dispute resolution</w:instrText>
      </w:r>
      <w:r w:rsidR="00EC32B8">
        <w:instrText xml:space="preserve">" </w:instrText>
      </w:r>
      <w:r w:rsidR="00EC32B8">
        <w:fldChar w:fldCharType="end"/>
      </w:r>
      <w:r>
        <w:t xml:space="preserve"> process</w:t>
      </w:r>
    </w:p>
    <w:p w:rsidR="00D824C7" w:rsidRDefault="00D824C7" w:rsidP="00D824C7">
      <w:pPr>
        <w:pStyle w:val="Bullet"/>
      </w:pPr>
      <w:r>
        <w:t>section 145B – the Principal Member may give written directions about alternative dispute resolution processes, such as the procedure to be followed, to the person who is to conduct an alternative dispute resolution process and the procedure to be followed when an alternative dispute resolution process ends</w:t>
      </w:r>
    </w:p>
    <w:p w:rsidR="00D824C7" w:rsidRDefault="00D824C7" w:rsidP="00D824C7">
      <w:pPr>
        <w:pStyle w:val="Bullet"/>
      </w:pPr>
      <w:r>
        <w:t>section 145C – the VRB may make a decision in accordance with an agreement by the parties or their representatives in the course of an alternative dispute resolution process</w:t>
      </w:r>
    </w:p>
    <w:p w:rsidR="00D824C7" w:rsidRDefault="00D824C7" w:rsidP="00D824C7">
      <w:pPr>
        <w:pStyle w:val="Bullet"/>
      </w:pPr>
      <w:r>
        <w:t>subsection 148(3) – the Principal Member may defer the hearing of a review until the parties advise that they are ready to proceed</w:t>
      </w:r>
    </w:p>
    <w:p w:rsidR="00D824C7" w:rsidRDefault="00D824C7" w:rsidP="00D824C7">
      <w:pPr>
        <w:pStyle w:val="Bullet"/>
      </w:pPr>
      <w:r>
        <w:t>subsection 148(4) – where a party fails to advise, within the time specified in the notice served on the party, whether they wish to appear at the hearing of a review, the VRB may determine the application in the absence of that party</w:t>
      </w:r>
    </w:p>
    <w:p w:rsidR="00D824C7" w:rsidRDefault="00D824C7" w:rsidP="00D824C7">
      <w:pPr>
        <w:pStyle w:val="Bullet"/>
      </w:pPr>
      <w:r>
        <w:t>subsection 148(4A) – a Member of the VRB may hold a directions hearing in relation to a review</w:t>
      </w:r>
    </w:p>
    <w:p w:rsidR="00D824C7" w:rsidRDefault="00D824C7" w:rsidP="00D824C7">
      <w:pPr>
        <w:pStyle w:val="Bullet"/>
      </w:pPr>
      <w:r>
        <w:t>subsection 148(4B) – a Member, the National Registrar</w:t>
      </w:r>
      <w:r w:rsidR="0018474C">
        <w:fldChar w:fldCharType="begin"/>
      </w:r>
      <w:r w:rsidR="0018474C">
        <w:instrText xml:space="preserve"> XE "</w:instrText>
      </w:r>
      <w:r w:rsidR="0018474C" w:rsidRPr="003924C2">
        <w:instrText>National Registrar</w:instrText>
      </w:r>
      <w:r w:rsidR="0018474C">
        <w:instrText xml:space="preserve">" </w:instrText>
      </w:r>
      <w:r w:rsidR="0018474C">
        <w:fldChar w:fldCharType="end"/>
      </w:r>
      <w:r>
        <w:t>, a Registrar</w:t>
      </w:r>
      <w:r w:rsidR="001D1DCA">
        <w:fldChar w:fldCharType="begin"/>
      </w:r>
      <w:r w:rsidR="001D1DCA">
        <w:instrText xml:space="preserve"> XE "</w:instrText>
      </w:r>
      <w:r w:rsidR="001D1DCA" w:rsidRPr="002D7689">
        <w:instrText>Registrars</w:instrText>
      </w:r>
      <w:r w:rsidR="001D1DCA">
        <w:instrText xml:space="preserve">" </w:instrText>
      </w:r>
      <w:r w:rsidR="001D1DCA">
        <w:fldChar w:fldCharType="end"/>
      </w:r>
      <w:r>
        <w:t>, a Deputy Registrar or a Conference Registrar may give directions in relation to the procedure to be followed in connection with a review before the hearing of a review has commenced</w:t>
      </w:r>
    </w:p>
    <w:p w:rsidR="00D824C7" w:rsidRDefault="00D824C7" w:rsidP="00D824C7">
      <w:pPr>
        <w:pStyle w:val="Bullet"/>
      </w:pPr>
      <w:r>
        <w:t>subsection 148(5) – the Principal Member may give general directions as to the procedure of the VRB with respect to reviews, including reviews the hearings of which have not been commenced</w:t>
      </w:r>
    </w:p>
    <w:p w:rsidR="00D824C7" w:rsidRDefault="00D824C7" w:rsidP="00D824C7">
      <w:pPr>
        <w:pStyle w:val="Bullet"/>
      </w:pPr>
      <w:r>
        <w:t>subsection 148(6) – the presiding member may give directions as to the procedure of the VRB with respect to a particular review, whether or not the hearing of that review has commenced</w:t>
      </w:r>
    </w:p>
    <w:p w:rsidR="00D824C7" w:rsidRDefault="00D824C7" w:rsidP="00D824C7">
      <w:pPr>
        <w:pStyle w:val="Bullet"/>
      </w:pPr>
      <w:r>
        <w:t>subsection 148(6A) – the Principal Member may request the Secretary of the Department of Veterans’ Affairs or the MRCC to conduct an investigation, arrange a medical examination, or provide additional documents in relation to a review</w:t>
      </w:r>
      <w:r w:rsidR="00741668">
        <w:fldChar w:fldCharType="begin"/>
      </w:r>
      <w:r w:rsidR="00741668">
        <w:instrText xml:space="preserve"> XE "</w:instrText>
      </w:r>
      <w:r w:rsidR="00741668" w:rsidRPr="001C52EF">
        <w:instrText>further evidence:subsection 148(6A) request</w:instrText>
      </w:r>
      <w:r w:rsidR="00741668">
        <w:instrText xml:space="preserve">" </w:instrText>
      </w:r>
      <w:r w:rsidR="00741668">
        <w:fldChar w:fldCharType="end"/>
      </w:r>
      <w:r w:rsidR="0005789C">
        <w:fldChar w:fldCharType="begin"/>
      </w:r>
      <w:r w:rsidR="0005789C">
        <w:instrText xml:space="preserve"> XE "</w:instrText>
      </w:r>
      <w:r w:rsidR="0005789C" w:rsidRPr="001C52EF">
        <w:instrText>section 148(6A) request</w:instrText>
      </w:r>
      <w:r w:rsidR="0005789C">
        <w:instrText xml:space="preserve">" </w:instrText>
      </w:r>
      <w:r w:rsidR="0005789C">
        <w:fldChar w:fldCharType="end"/>
      </w:r>
    </w:p>
    <w:p w:rsidR="00D824C7" w:rsidRDefault="00D824C7" w:rsidP="00D824C7">
      <w:pPr>
        <w:pStyle w:val="Bullet"/>
      </w:pPr>
      <w:r>
        <w:t>subsection 150(2) – the presiding member may give directions as to the persons who may be present at any hearing of a review</w:t>
      </w:r>
    </w:p>
    <w:p w:rsidR="00D824C7" w:rsidRDefault="00D824C7" w:rsidP="00D824C7">
      <w:pPr>
        <w:pStyle w:val="Bullet"/>
      </w:pPr>
      <w:r>
        <w:t>subsection 150(3) – the presiding member may permit a hearing, or part of a hearing, of a review to take place in public</w:t>
      </w:r>
    </w:p>
    <w:p w:rsidR="00D824C7" w:rsidRDefault="00D824C7" w:rsidP="00D824C7">
      <w:pPr>
        <w:pStyle w:val="Bullet"/>
      </w:pPr>
      <w:r>
        <w:t>subsection 151(1) – the VRB may take evidence on oath or affirmation and may adjourn the hearing of a review from time to time</w:t>
      </w:r>
    </w:p>
    <w:p w:rsidR="00D824C7" w:rsidRDefault="00D824C7" w:rsidP="00D824C7">
      <w:pPr>
        <w:pStyle w:val="Bullet"/>
      </w:pPr>
      <w:r>
        <w:t>subsection 151(2) – the presiding member may summon a person to appear at the hearing of a review, to give evidence or produce documents, and to take an oath or make an affirmation</w:t>
      </w:r>
    </w:p>
    <w:p w:rsidR="00D824C7" w:rsidRDefault="00D824C7" w:rsidP="00D824C7">
      <w:pPr>
        <w:pStyle w:val="Bullet"/>
      </w:pPr>
      <w:r>
        <w:t>subsection 151(5) – the VRB may take evidence by a person authorised by the presiding member, and may do so within or outside Australia</w:t>
      </w:r>
    </w:p>
    <w:p w:rsidR="00D824C7" w:rsidRDefault="00D824C7" w:rsidP="00D824C7">
      <w:pPr>
        <w:pStyle w:val="Bullet"/>
      </w:pPr>
      <w:r>
        <w:t>section 152 – the VRB may request the Secretary of the Department of Veterans’ Affairs or the MRCC to conduct an investigation, arrange a medical examination, or provide additional documents that the VRB thinks necessary for the conduct of a review section 153 – the VRB may make additional evidence in its possession available to the parties to the hearing of a review</w:t>
      </w:r>
    </w:p>
    <w:p w:rsidR="00D824C7" w:rsidRDefault="00D824C7" w:rsidP="00D824C7">
      <w:pPr>
        <w:pStyle w:val="Bullet"/>
      </w:pPr>
      <w:r>
        <w:t>subsection 155(1) – if each party to the review by the VRB of a decision consents, the Principal Member may dismiss the application for review without proceeding to review the decision or, if the VRB had started to review the decision, without completing the review</w:t>
      </w:r>
    </w:p>
    <w:p w:rsidR="00D824C7" w:rsidRDefault="00D824C7" w:rsidP="00D824C7">
      <w:pPr>
        <w:pStyle w:val="Bullet"/>
      </w:pPr>
      <w:r>
        <w:lastRenderedPageBreak/>
        <w:t>subsection 155(4) – if the applicant for the review of a decision fails to appear in person, or to appear by a representative, at a directions hearing or ADR process under Division 4A, held in relation to the application or at the hearing of the review, the Principal Member may dismiss the application without proceeding to review the decision</w:t>
      </w:r>
    </w:p>
    <w:p w:rsidR="00D824C7" w:rsidRDefault="00D824C7" w:rsidP="00D824C7">
      <w:pPr>
        <w:pStyle w:val="Bullet"/>
      </w:pPr>
      <w:r>
        <w:t>subsection 155(7) – if the applicant for the review of a decision is notified in writing by the National Registrar</w:t>
      </w:r>
      <w:r w:rsidR="0018474C">
        <w:fldChar w:fldCharType="begin"/>
      </w:r>
      <w:r w:rsidR="0018474C">
        <w:instrText xml:space="preserve"> XE "</w:instrText>
      </w:r>
      <w:r w:rsidR="0018474C" w:rsidRPr="003924C2">
        <w:instrText>National Registrar</w:instrText>
      </w:r>
      <w:r w:rsidR="0018474C">
        <w:instrText xml:space="preserve">" </w:instrText>
      </w:r>
      <w:r w:rsidR="0018474C">
        <w:fldChar w:fldCharType="end"/>
      </w:r>
      <w:r>
        <w:t xml:space="preserve"> that the decision does not appear to be reviewable by the VRB, and before the end of the period prescribed in a legislative instrument made by the Minister, the person is unable to show that the decision is so reviewable, the Principal Member may dismiss the application without proceeding to review the decision</w:t>
      </w:r>
    </w:p>
    <w:p w:rsidR="00D824C7" w:rsidRDefault="00D824C7" w:rsidP="00D824C7">
      <w:pPr>
        <w:pStyle w:val="Bullet"/>
      </w:pPr>
      <w:r>
        <w:t>subsection 155(8) – if the applicant for the review of a decision fails within a reasonable time to proceed with the application or to comply with a direction given to the applicant then the Principal Member may dismiss the application without proceeding to review the decision</w:t>
      </w:r>
    </w:p>
    <w:p w:rsidR="00D824C7" w:rsidRDefault="00D824C7" w:rsidP="00D824C7">
      <w:pPr>
        <w:pStyle w:val="Bullet"/>
      </w:pPr>
      <w:r>
        <w:t>subsection 155(10) – if the Principal Member dismisses an application under subsection 155(4) the applicant may, within 28 days after receiving notification of the dismissal, apply to the Principal Member for reinstatement of the application, and if the Principal Member considers it appropriate to do so, he may reinstate the application and give appropriate directions</w:t>
      </w:r>
    </w:p>
    <w:p w:rsidR="00D824C7" w:rsidRDefault="00D824C7" w:rsidP="00D824C7">
      <w:pPr>
        <w:pStyle w:val="Bullet"/>
      </w:pPr>
      <w:r>
        <w:t>subsection 155(11) – if it appears to the Principal Member that an application has been dismissed under section 155 in error, the Principal Member may, on the application of a party to the review or on his own initiative, reinstate the application and give appropriate directions</w:t>
      </w:r>
    </w:p>
    <w:p w:rsidR="00D824C7" w:rsidRDefault="00D824C7" w:rsidP="00D824C7">
      <w:pPr>
        <w:pStyle w:val="Bullet"/>
      </w:pPr>
      <w:r>
        <w:t>section 157 – the VRB may set the date from which its decision is to operate</w:t>
      </w:r>
    </w:p>
    <w:p w:rsidR="00D824C7" w:rsidRDefault="00D824C7" w:rsidP="00D824C7">
      <w:pPr>
        <w:pStyle w:val="Bullet"/>
      </w:pPr>
      <w:r>
        <w:t>subsection 165(2) – if the Principal Member becomes aware that a member has a pecuniary or other interest in relation to a particular review, the Principal Member can direct that the member not take part in the review or disclose the interest of the member to both parties</w:t>
      </w:r>
    </w:p>
    <w:p w:rsidR="00D824C7" w:rsidRDefault="00D824C7" w:rsidP="00D824C7">
      <w:pPr>
        <w:pStyle w:val="Bullet"/>
      </w:pPr>
      <w:r>
        <w:t>subsection 166(1) – the Principal Member may delegate his powers under Part IX to a Senior Member or acting Senior Member</w:t>
      </w:r>
    </w:p>
    <w:p w:rsidR="00D824C7" w:rsidRDefault="00D824C7" w:rsidP="00D824C7">
      <w:pPr>
        <w:pStyle w:val="Bullet"/>
      </w:pPr>
      <w:r>
        <w:t>subsection 166(1A) – the Principal Member may delegate their powers under section 142, 143, 144, 148 or 155 to the National Registrar</w:t>
      </w:r>
    </w:p>
    <w:p w:rsidR="00D824C7" w:rsidRDefault="00D824C7" w:rsidP="00D824C7">
      <w:pPr>
        <w:pStyle w:val="Bullet"/>
      </w:pPr>
      <w:r>
        <w:t>subsection 166(1B) – the Principal Member may delegate their powers under subsection 148(6A)</w:t>
      </w:r>
      <w:r w:rsidR="00741668">
        <w:fldChar w:fldCharType="begin"/>
      </w:r>
      <w:r w:rsidR="00741668">
        <w:instrText xml:space="preserve"> XE "</w:instrText>
      </w:r>
      <w:r w:rsidR="00741668" w:rsidRPr="001C52EF">
        <w:instrText>further evidence:subsection 148(6A) request</w:instrText>
      </w:r>
      <w:r w:rsidR="00741668">
        <w:instrText xml:space="preserve">" </w:instrText>
      </w:r>
      <w:r w:rsidR="00741668">
        <w:fldChar w:fldCharType="end"/>
      </w:r>
      <w:r w:rsidR="0005789C">
        <w:fldChar w:fldCharType="begin"/>
      </w:r>
      <w:r w:rsidR="0005789C">
        <w:instrText xml:space="preserve"> XE "</w:instrText>
      </w:r>
      <w:r w:rsidR="0005789C" w:rsidRPr="001C52EF">
        <w:instrText>section 148(6A) request</w:instrText>
      </w:r>
      <w:r w:rsidR="0005789C">
        <w:instrText xml:space="preserve">" </w:instrText>
      </w:r>
      <w:r w:rsidR="0005789C">
        <w:fldChar w:fldCharType="end"/>
      </w:r>
      <w:r>
        <w:t xml:space="preserve"> or section 155 to a Registrar, a Deputy Registrar or a Conference Registrar</w:t>
      </w:r>
    </w:p>
    <w:bookmarkEnd w:id="38"/>
    <w:p w:rsidR="00D824C7" w:rsidRPr="00D824C7" w:rsidRDefault="00D824C7" w:rsidP="00D824C7">
      <w:pPr>
        <w:pStyle w:val="Bullet"/>
      </w:pPr>
      <w:r>
        <w:t>subsection 171(3) – the VRB may order that the Commonwealth shall pay the fees and allowances of a witness summoned to appear at a hearing before the VRB.</w:t>
      </w:r>
    </w:p>
    <w:bookmarkEnd w:id="37"/>
    <w:p w:rsidR="00F55BF5" w:rsidRDefault="00F55BF5" w:rsidP="00F55BF5">
      <w:pPr>
        <w:pStyle w:val="Heading4"/>
      </w:pPr>
      <w:r>
        <w:t>Arrangements for Outside Participation</w:t>
      </w:r>
    </w:p>
    <w:p w:rsidR="00FC41FC" w:rsidRDefault="00F55BF5" w:rsidP="00F55BF5">
      <w:r>
        <w:t>The only statutory arrangement for external participation exists in the right of organisations representing ex-servicemen and women throughout Australia to submit, when requested to do so by the Minister, lists of names of candidates they recommend be considered for appointment as Services Members. Once appointed, members so selected have the same obligations and take the same oath or affirmation of office as other members.</w:t>
      </w:r>
    </w:p>
    <w:p w:rsidR="004B210B" w:rsidRDefault="004B210B" w:rsidP="004B210B">
      <w:r>
        <w:t>The Principal Member seeks, through meetings and correspondence, the views of DVA, the Repatriation Commission</w:t>
      </w:r>
      <w:r w:rsidR="0005789C">
        <w:fldChar w:fldCharType="begin"/>
      </w:r>
      <w:r w:rsidR="0005789C">
        <w:instrText xml:space="preserve"> XE "</w:instrText>
      </w:r>
      <w:r w:rsidR="0005789C" w:rsidRPr="002D7689">
        <w:instrText>Repatriation Commission</w:instrText>
      </w:r>
      <w:r w:rsidR="0005789C">
        <w:instrText xml:space="preserve">" </w:instrText>
      </w:r>
      <w:r w:rsidR="0005789C">
        <w:fldChar w:fldCharType="end"/>
      </w:r>
      <w:r>
        <w:t>, the MRCC, the service chiefs</w:t>
      </w:r>
      <w:r w:rsidR="0005789C">
        <w:fldChar w:fldCharType="begin"/>
      </w:r>
      <w:r w:rsidR="0005789C">
        <w:instrText xml:space="preserve"> XE "</w:instrText>
      </w:r>
      <w:r w:rsidR="0005789C" w:rsidRPr="002D7689">
        <w:instrText>service chief</w:instrText>
      </w:r>
      <w:r w:rsidR="0005789C">
        <w:instrText xml:space="preserve">" </w:instrText>
      </w:r>
      <w:r w:rsidR="0005789C">
        <w:fldChar w:fldCharType="end"/>
      </w:r>
      <w:r>
        <w:t>, and ex-service and related organisations on administrative matters of concern to the VRB.</w:t>
      </w:r>
    </w:p>
    <w:p w:rsidR="004B210B" w:rsidRDefault="004B210B" w:rsidP="004B210B">
      <w:pPr>
        <w:pStyle w:val="Heading3"/>
      </w:pPr>
      <w:r>
        <w:lastRenderedPageBreak/>
        <w:t>Categories of Documents</w:t>
      </w:r>
    </w:p>
    <w:p w:rsidR="004B210B" w:rsidRDefault="004B210B" w:rsidP="004B210B">
      <w:r>
        <w:t xml:space="preserve">The following provides the details required by section 9 of the </w:t>
      </w:r>
      <w:r w:rsidRPr="00EC32B8">
        <w:rPr>
          <w:i/>
        </w:rPr>
        <w:t>Freedom of Information Act 1982</w:t>
      </w:r>
      <w:r>
        <w:t>.</w:t>
      </w:r>
    </w:p>
    <w:p w:rsidR="004B210B" w:rsidRDefault="004B210B" w:rsidP="004B210B">
      <w:r>
        <w:t>The following are the categories of documents maintained by the VRB in its National Registry and in registries in each State.</w:t>
      </w:r>
    </w:p>
    <w:p w:rsidR="004B210B" w:rsidRDefault="004B210B" w:rsidP="004B210B">
      <w:pPr>
        <w:pStyle w:val="Heading4"/>
      </w:pPr>
      <w:r>
        <w:t>Operations Manual</w:t>
      </w:r>
      <w:r w:rsidR="001D1DCA">
        <w:fldChar w:fldCharType="begin"/>
      </w:r>
      <w:r w:rsidR="001D1DCA">
        <w:instrText xml:space="preserve"> XE "</w:instrText>
      </w:r>
      <w:r w:rsidR="001D1DCA" w:rsidRPr="003924C2">
        <w:instrText>Operations Manual</w:instrText>
      </w:r>
      <w:r w:rsidR="001D1DCA">
        <w:instrText xml:space="preserve">" </w:instrText>
      </w:r>
      <w:r w:rsidR="001D1DCA">
        <w:fldChar w:fldCharType="end"/>
      </w:r>
    </w:p>
    <w:p w:rsidR="00F55BF5" w:rsidRDefault="004B210B" w:rsidP="004B210B">
      <w:r>
        <w:t>This is issued by the Principal Member</w:t>
      </w:r>
      <w:r w:rsidR="001D1DCA">
        <w:fldChar w:fldCharType="begin"/>
      </w:r>
      <w:r w:rsidR="001D1DCA">
        <w:instrText xml:space="preserve"> XE "</w:instrText>
      </w:r>
      <w:r w:rsidR="001D1DCA" w:rsidRPr="002D7689">
        <w:instrText>Principal Member</w:instrText>
      </w:r>
      <w:r w:rsidR="001D1DCA">
        <w:instrText xml:space="preserve">" </w:instrText>
      </w:r>
      <w:r w:rsidR="001D1DCA">
        <w:fldChar w:fldCharType="end"/>
      </w:r>
      <w:r>
        <w:t xml:space="preserve"> and includes directions and guidelines from the Principal Member for members and staff concerning the processing of applications to the VRB. The Manual is supplemented from time to time by memoranda issued by the Principal Member or senior staff of the VRB. The review of the operations manual has been completed and is in the process of being rolled out to all staff nationally.</w:t>
      </w:r>
    </w:p>
    <w:p w:rsidR="004B210B" w:rsidRDefault="004B210B" w:rsidP="004B210B">
      <w:pPr>
        <w:pStyle w:val="Heading4"/>
      </w:pPr>
      <w:r>
        <w:t>Members’ Handbook</w:t>
      </w:r>
    </w:p>
    <w:p w:rsidR="004B210B" w:rsidRDefault="004B210B" w:rsidP="004B210B">
      <w:r>
        <w:t>This is issued by the VRB’s Director (Legal Services) and concerns technical and legal matters relating to the functions of VRB members.</w:t>
      </w:r>
    </w:p>
    <w:p w:rsidR="004B210B" w:rsidRDefault="004B210B" w:rsidP="004B210B">
      <w:pPr>
        <w:pStyle w:val="Heading4"/>
      </w:pPr>
      <w:r>
        <w:t>vrbSAM</w:t>
      </w:r>
      <w:r w:rsidR="004A74AE">
        <w:fldChar w:fldCharType="begin"/>
      </w:r>
      <w:r w:rsidR="004A74AE">
        <w:instrText xml:space="preserve"> XE "</w:instrText>
      </w:r>
      <w:r w:rsidR="004A74AE" w:rsidRPr="002D7689">
        <w:instrText>vrbSAM</w:instrText>
      </w:r>
      <w:r w:rsidR="004A74AE">
        <w:instrText xml:space="preserve">" </w:instrText>
      </w:r>
      <w:r w:rsidR="004A74AE">
        <w:fldChar w:fldCharType="end"/>
      </w:r>
      <w:r>
        <w:t xml:space="preserve"> User Manual</w:t>
      </w:r>
    </w:p>
    <w:p w:rsidR="004B210B" w:rsidRDefault="004B210B" w:rsidP="004B210B">
      <w:r>
        <w:t>This concerns the procedures</w:t>
      </w:r>
      <w:r w:rsidR="001D1DCA">
        <w:fldChar w:fldCharType="begin"/>
      </w:r>
      <w:r w:rsidR="001D1DCA">
        <w:instrText xml:space="preserve"> XE "</w:instrText>
      </w:r>
      <w:r w:rsidR="001D1DCA" w:rsidRPr="002D7689">
        <w:instrText>procedures</w:instrText>
      </w:r>
      <w:r w:rsidR="001D1DCA">
        <w:instrText xml:space="preserve">" </w:instrText>
      </w:r>
      <w:r w:rsidR="001D1DCA">
        <w:fldChar w:fldCharType="end"/>
      </w:r>
      <w:r>
        <w:t xml:space="preserve"> for the use and operation of vrbSAM, the computerised System for Application Management used by VRB staff to track and manage applications for review.</w:t>
      </w:r>
    </w:p>
    <w:p w:rsidR="004B210B" w:rsidRDefault="004B210B" w:rsidP="004B210B">
      <w:pPr>
        <w:pStyle w:val="Heading4"/>
      </w:pPr>
      <w:r>
        <w:t>Files</w:t>
      </w:r>
    </w:p>
    <w:p w:rsidR="004B210B" w:rsidRDefault="004B210B" w:rsidP="004B210B">
      <w:r>
        <w:t>Individual VRB files are held for each application for review by the VRB. Policy and operational files are held for various areas of the VRB’s administration and include files on staffing, statistics, procedures, accommodation and furniture, stores, publications</w:t>
      </w:r>
      <w:r w:rsidR="001D1DCA">
        <w:fldChar w:fldCharType="begin"/>
      </w:r>
      <w:r w:rsidR="001D1DCA">
        <w:instrText xml:space="preserve"> XE "</w:instrText>
      </w:r>
      <w:r w:rsidR="001D1DCA" w:rsidRPr="002D7689">
        <w:instrText>publications</w:instrText>
      </w:r>
      <w:r w:rsidR="001D1DCA">
        <w:instrText xml:space="preserve">" </w:instrText>
      </w:r>
      <w:r w:rsidR="001D1DCA">
        <w:fldChar w:fldCharType="end"/>
      </w:r>
      <w:r>
        <w:t>, meetings, etc.</w:t>
      </w:r>
    </w:p>
    <w:p w:rsidR="004B210B" w:rsidRDefault="004B210B" w:rsidP="004B210B">
      <w:pPr>
        <w:pStyle w:val="Heading3"/>
      </w:pPr>
      <w:r>
        <w:t>Facilities for FOI Access and Initial Contact Points</w:t>
      </w:r>
    </w:p>
    <w:p w:rsidR="004B210B" w:rsidRDefault="004B210B" w:rsidP="004B210B">
      <w:r>
        <w:t xml:space="preserve">Requests under the </w:t>
      </w:r>
      <w:r w:rsidRPr="004B210B">
        <w:rPr>
          <w:i/>
        </w:rPr>
        <w:t>Freedom of Information Act 1982</w:t>
      </w:r>
      <w:r>
        <w:rPr>
          <w:rFonts w:ascii="HelveticaNeueLTStd-LtIt" w:hAnsi="HelveticaNeueLTStd-LtIt" w:cs="HelveticaNeueLTStd-LtIt"/>
          <w:i/>
          <w:iCs/>
        </w:rPr>
        <w:t xml:space="preserve"> </w:t>
      </w:r>
      <w:r>
        <w:t>for access to or copies of documents held by the VRB may be made to the National Registrar</w:t>
      </w:r>
      <w:r w:rsidR="0018474C">
        <w:fldChar w:fldCharType="begin"/>
      </w:r>
      <w:r w:rsidR="0018474C">
        <w:instrText xml:space="preserve"> XE "</w:instrText>
      </w:r>
      <w:r w:rsidR="0018474C" w:rsidRPr="003924C2">
        <w:instrText>National Registrar</w:instrText>
      </w:r>
      <w:r w:rsidR="0018474C">
        <w:instrText xml:space="preserve">" </w:instrText>
      </w:r>
      <w:r w:rsidR="0018474C">
        <w:fldChar w:fldCharType="end"/>
      </w:r>
      <w:r>
        <w:t xml:space="preserve"> or a Registrar</w:t>
      </w:r>
      <w:r w:rsidR="001D1DCA">
        <w:fldChar w:fldCharType="begin"/>
      </w:r>
      <w:r w:rsidR="001D1DCA">
        <w:instrText xml:space="preserve"> XE "</w:instrText>
      </w:r>
      <w:r w:rsidR="001D1DCA" w:rsidRPr="002D7689">
        <w:instrText>Registrars</w:instrText>
      </w:r>
      <w:r w:rsidR="001D1DCA">
        <w:instrText xml:space="preserve">" </w:instrText>
      </w:r>
      <w:r w:rsidR="001D1DCA">
        <w:fldChar w:fldCharType="end"/>
      </w:r>
      <w:r>
        <w:t xml:space="preserve"> of the VRB. General information about freedom of information matters and facilities for physical access are available at any VRB registry.</w:t>
      </w:r>
    </w:p>
    <w:p w:rsidR="004B210B" w:rsidRDefault="004B210B" w:rsidP="004B210B">
      <w:r>
        <w:t>Registry addresses and the names of those who can assist with enquiries or requests for information, including the names of the information officers, are listed in Appendix 14.</w:t>
      </w:r>
    </w:p>
    <w:p w:rsidR="0059142F" w:rsidRDefault="0059142F" w:rsidP="0059142F">
      <w:pPr>
        <w:pStyle w:val="Heading1"/>
        <w:pageBreakBefore/>
      </w:pPr>
      <w:bookmarkStart w:id="39" w:name="_Toc532322374"/>
      <w:r>
        <w:lastRenderedPageBreak/>
        <w:t>Appendix 6</w:t>
      </w:r>
      <w:bookmarkEnd w:id="39"/>
    </w:p>
    <w:p w:rsidR="004B210B" w:rsidRDefault="0059142F" w:rsidP="00F86E62">
      <w:pPr>
        <w:keepNext/>
      </w:pPr>
      <w:r>
        <w:t xml:space="preserve">This Annual Report has been prepared in accordance with the Requirements for Annual Reports, published by the Department of Prime Minister </w:t>
      </w:r>
      <w:r w:rsidR="0018474C">
        <w:t>a</w:t>
      </w:r>
      <w:r>
        <w:t>nd Cabinet and approved by the Joint Committee of Public Accounts and Audit (updated 29 May 2014). The index below refers to mandatory and suggested reporting items.</w:t>
      </w:r>
    </w:p>
    <w:tbl>
      <w:tblPr>
        <w:tblStyle w:val="TableGrid"/>
        <w:tblW w:w="5000" w:type="pct"/>
        <w:tblBorders>
          <w:top w:val="single" w:sz="4" w:space="0" w:color="A39892"/>
          <w:left w:val="single" w:sz="4" w:space="0" w:color="A39892"/>
          <w:bottom w:val="single" w:sz="4" w:space="0" w:color="A39892"/>
          <w:right w:val="single" w:sz="4" w:space="0" w:color="A39892"/>
          <w:insideH w:val="single" w:sz="4" w:space="0" w:color="A39892"/>
          <w:insideV w:val="single" w:sz="4" w:space="0" w:color="A39892"/>
        </w:tblBorders>
        <w:tblLayout w:type="fixed"/>
        <w:tblCellMar>
          <w:left w:w="115" w:type="dxa"/>
          <w:right w:w="115" w:type="dxa"/>
        </w:tblCellMar>
        <w:tblLook w:val="04A0" w:firstRow="1" w:lastRow="0" w:firstColumn="1" w:lastColumn="0" w:noHBand="0" w:noVBand="1"/>
      </w:tblPr>
      <w:tblGrid>
        <w:gridCol w:w="6595"/>
        <w:gridCol w:w="1353"/>
      </w:tblGrid>
      <w:tr w:rsidR="00F86E62" w:rsidRPr="00F86E62" w:rsidTr="00F86E62">
        <w:trPr>
          <w:cantSplit/>
          <w:tblHeader/>
        </w:trPr>
        <w:tc>
          <w:tcPr>
            <w:tcW w:w="6595" w:type="dxa"/>
            <w:shd w:val="clear" w:color="auto" w:fill="C6BDB6"/>
          </w:tcPr>
          <w:p w:rsidR="00F86E62" w:rsidRPr="00F86E62" w:rsidRDefault="00F86E62" w:rsidP="00F86E62">
            <w:pPr>
              <w:pStyle w:val="TableText"/>
              <w:spacing w:before="80"/>
              <w:rPr>
                <w:b/>
              </w:rPr>
            </w:pPr>
            <w:r w:rsidRPr="00F86E62">
              <w:rPr>
                <w:b/>
              </w:rPr>
              <w:t>Description</w:t>
            </w:r>
          </w:p>
        </w:tc>
        <w:tc>
          <w:tcPr>
            <w:tcW w:w="1353" w:type="dxa"/>
            <w:shd w:val="clear" w:color="auto" w:fill="C6BDB6"/>
          </w:tcPr>
          <w:p w:rsidR="00F86E62" w:rsidRPr="00F86E62" w:rsidRDefault="00F86E62" w:rsidP="00F86E62">
            <w:pPr>
              <w:pStyle w:val="TableText"/>
              <w:spacing w:before="80"/>
              <w:rPr>
                <w:b/>
              </w:rPr>
            </w:pPr>
            <w:r w:rsidRPr="00F86E62">
              <w:rPr>
                <w:b/>
              </w:rPr>
              <w:t>Page</w:t>
            </w:r>
          </w:p>
        </w:tc>
      </w:tr>
      <w:tr w:rsidR="00F86E62" w:rsidRPr="00F86E62" w:rsidTr="00F86E62">
        <w:trPr>
          <w:cantSplit/>
        </w:trPr>
        <w:tc>
          <w:tcPr>
            <w:tcW w:w="6595" w:type="dxa"/>
          </w:tcPr>
          <w:p w:rsidR="00F86E62" w:rsidRPr="00F86E62" w:rsidRDefault="00F86E62" w:rsidP="004D44D5">
            <w:pPr>
              <w:pStyle w:val="TableText"/>
            </w:pPr>
            <w:r w:rsidRPr="00F86E62">
              <w:t>Letter of transmittal</w:t>
            </w:r>
          </w:p>
        </w:tc>
        <w:tc>
          <w:tcPr>
            <w:tcW w:w="1353" w:type="dxa"/>
          </w:tcPr>
          <w:p w:rsidR="00F86E62" w:rsidRPr="00F86E62" w:rsidRDefault="00F86E62" w:rsidP="004D44D5">
            <w:pPr>
              <w:pStyle w:val="TableText"/>
            </w:pPr>
            <w:r w:rsidRPr="00F86E62">
              <w:t>ii</w:t>
            </w:r>
          </w:p>
        </w:tc>
      </w:tr>
      <w:tr w:rsidR="00F86E62" w:rsidRPr="00F86E62" w:rsidTr="00F86E62">
        <w:trPr>
          <w:cantSplit/>
        </w:trPr>
        <w:tc>
          <w:tcPr>
            <w:tcW w:w="6595" w:type="dxa"/>
          </w:tcPr>
          <w:p w:rsidR="00F86E62" w:rsidRPr="00F86E62" w:rsidRDefault="00F86E62" w:rsidP="004D44D5">
            <w:pPr>
              <w:pStyle w:val="TableText"/>
            </w:pPr>
            <w:r w:rsidRPr="00F86E62">
              <w:t>Table of contents</w:t>
            </w:r>
          </w:p>
        </w:tc>
        <w:tc>
          <w:tcPr>
            <w:tcW w:w="1353" w:type="dxa"/>
          </w:tcPr>
          <w:p w:rsidR="00F86E62" w:rsidRPr="00F86E62" w:rsidRDefault="00F86E62" w:rsidP="004D44D5">
            <w:pPr>
              <w:pStyle w:val="TableText"/>
            </w:pPr>
            <w:r w:rsidRPr="00F86E62">
              <w:t>iii</w:t>
            </w:r>
          </w:p>
        </w:tc>
      </w:tr>
      <w:tr w:rsidR="00F86E62" w:rsidRPr="00F86E62" w:rsidTr="00F86E62">
        <w:trPr>
          <w:cantSplit/>
        </w:trPr>
        <w:tc>
          <w:tcPr>
            <w:tcW w:w="6595" w:type="dxa"/>
          </w:tcPr>
          <w:p w:rsidR="00F86E62" w:rsidRPr="00F86E62" w:rsidRDefault="00F86E62" w:rsidP="004D44D5">
            <w:pPr>
              <w:pStyle w:val="TableText"/>
            </w:pPr>
            <w:r w:rsidRPr="00F86E62">
              <w:t>Index</w:t>
            </w:r>
          </w:p>
        </w:tc>
        <w:tc>
          <w:tcPr>
            <w:tcW w:w="1353" w:type="dxa"/>
          </w:tcPr>
          <w:p w:rsidR="00F86E62" w:rsidRPr="00F86E62" w:rsidRDefault="00F86E62" w:rsidP="004D44D5">
            <w:pPr>
              <w:pStyle w:val="TableText"/>
            </w:pPr>
            <w:r w:rsidRPr="00F86E62">
              <w:t>81</w:t>
            </w:r>
          </w:p>
        </w:tc>
      </w:tr>
      <w:tr w:rsidR="00F86E62" w:rsidRPr="00F86E62" w:rsidTr="00F86E62">
        <w:trPr>
          <w:cantSplit/>
        </w:trPr>
        <w:tc>
          <w:tcPr>
            <w:tcW w:w="6595" w:type="dxa"/>
          </w:tcPr>
          <w:p w:rsidR="00F86E62" w:rsidRPr="00F86E62" w:rsidRDefault="00F86E62" w:rsidP="004D44D5">
            <w:pPr>
              <w:pStyle w:val="TableText"/>
            </w:pPr>
            <w:r w:rsidRPr="00F86E62">
              <w:t>Glossary</w:t>
            </w:r>
          </w:p>
        </w:tc>
        <w:tc>
          <w:tcPr>
            <w:tcW w:w="1353" w:type="dxa"/>
          </w:tcPr>
          <w:p w:rsidR="00F86E62" w:rsidRPr="00F86E62" w:rsidRDefault="00F86E62" w:rsidP="004D44D5">
            <w:pPr>
              <w:pStyle w:val="TableText"/>
            </w:pPr>
            <w:r w:rsidRPr="00F86E62">
              <w:t>77</w:t>
            </w:r>
          </w:p>
        </w:tc>
      </w:tr>
      <w:tr w:rsidR="00F86E62" w:rsidRPr="00F86E62" w:rsidTr="00F86E62">
        <w:trPr>
          <w:cantSplit/>
        </w:trPr>
        <w:tc>
          <w:tcPr>
            <w:tcW w:w="6595" w:type="dxa"/>
          </w:tcPr>
          <w:p w:rsidR="00F86E62" w:rsidRPr="00F86E62" w:rsidRDefault="00F86E62" w:rsidP="004D44D5">
            <w:pPr>
              <w:pStyle w:val="TableText"/>
            </w:pPr>
            <w:r w:rsidRPr="00F86E62">
              <w:t>Contact officers</w:t>
            </w:r>
          </w:p>
        </w:tc>
        <w:tc>
          <w:tcPr>
            <w:tcW w:w="1353" w:type="dxa"/>
          </w:tcPr>
          <w:p w:rsidR="00F86E62" w:rsidRPr="00F86E62" w:rsidRDefault="00F86E62" w:rsidP="004D44D5">
            <w:pPr>
              <w:pStyle w:val="TableText"/>
            </w:pPr>
            <w:r w:rsidRPr="00F86E62">
              <w:t>i</w:t>
            </w:r>
          </w:p>
        </w:tc>
      </w:tr>
      <w:tr w:rsidR="00F86E62" w:rsidRPr="00F86E62" w:rsidTr="00F86E62">
        <w:trPr>
          <w:cantSplit/>
        </w:trPr>
        <w:tc>
          <w:tcPr>
            <w:tcW w:w="6595" w:type="dxa"/>
          </w:tcPr>
          <w:p w:rsidR="00F86E62" w:rsidRPr="00F86E62" w:rsidRDefault="00F86E62" w:rsidP="004D44D5">
            <w:pPr>
              <w:pStyle w:val="TableText"/>
            </w:pPr>
            <w:r w:rsidRPr="00F86E62">
              <w:t>Internet home page address and Internet address for report</w:t>
            </w:r>
            <w:r w:rsidR="00C202FD">
              <w:fldChar w:fldCharType="begin"/>
            </w:r>
            <w:r w:rsidR="00C202FD">
              <w:instrText xml:space="preserve"> XE "</w:instrText>
            </w:r>
            <w:r w:rsidR="00C202FD" w:rsidRPr="003924C2">
              <w:instrText>Internet</w:instrText>
            </w:r>
            <w:r w:rsidR="00C202FD">
              <w:instrText xml:space="preserve">" </w:instrText>
            </w:r>
            <w:r w:rsidR="00C202FD">
              <w:fldChar w:fldCharType="end"/>
            </w:r>
          </w:p>
        </w:tc>
        <w:tc>
          <w:tcPr>
            <w:tcW w:w="1353" w:type="dxa"/>
          </w:tcPr>
          <w:p w:rsidR="00F86E62" w:rsidRPr="00F86E62" w:rsidRDefault="00F86E62" w:rsidP="004D44D5">
            <w:pPr>
              <w:pStyle w:val="TableText"/>
            </w:pPr>
            <w:r w:rsidRPr="00F86E62">
              <w:t>i</w:t>
            </w:r>
          </w:p>
        </w:tc>
      </w:tr>
      <w:tr w:rsidR="00F86E62" w:rsidRPr="00F86E62" w:rsidTr="00F86E62">
        <w:trPr>
          <w:cantSplit/>
        </w:trPr>
        <w:tc>
          <w:tcPr>
            <w:tcW w:w="6595" w:type="dxa"/>
          </w:tcPr>
          <w:p w:rsidR="00F86E62" w:rsidRPr="00F86E62" w:rsidRDefault="00F86E62" w:rsidP="004D44D5">
            <w:pPr>
              <w:pStyle w:val="TableText"/>
            </w:pPr>
            <w:r w:rsidRPr="00F86E62">
              <w:t>Review by agency head</w:t>
            </w:r>
          </w:p>
        </w:tc>
        <w:tc>
          <w:tcPr>
            <w:tcW w:w="1353" w:type="dxa"/>
          </w:tcPr>
          <w:p w:rsidR="00F86E62" w:rsidRPr="00F86E62" w:rsidRDefault="00F86E62" w:rsidP="004D44D5">
            <w:pPr>
              <w:pStyle w:val="TableText"/>
            </w:pPr>
            <w:r w:rsidRPr="00F86E62">
              <w:t>1-3</w:t>
            </w:r>
          </w:p>
        </w:tc>
      </w:tr>
      <w:tr w:rsidR="00F86E62" w:rsidRPr="00F86E62" w:rsidTr="00F86E62">
        <w:trPr>
          <w:cantSplit/>
        </w:trPr>
        <w:tc>
          <w:tcPr>
            <w:tcW w:w="6595" w:type="dxa"/>
          </w:tcPr>
          <w:p w:rsidR="00F86E62" w:rsidRPr="00F86E62" w:rsidRDefault="00F86E62" w:rsidP="004D44D5">
            <w:pPr>
              <w:pStyle w:val="TableText"/>
            </w:pPr>
            <w:r w:rsidRPr="00F86E62">
              <w:t>Summary of significant issues and developments</w:t>
            </w:r>
          </w:p>
        </w:tc>
        <w:tc>
          <w:tcPr>
            <w:tcW w:w="1353" w:type="dxa"/>
          </w:tcPr>
          <w:p w:rsidR="00F86E62" w:rsidRPr="00F86E62" w:rsidRDefault="00F86E62" w:rsidP="004D44D5">
            <w:pPr>
              <w:pStyle w:val="TableText"/>
            </w:pPr>
            <w:r w:rsidRPr="00F86E62">
              <w:t>1-3</w:t>
            </w:r>
          </w:p>
        </w:tc>
      </w:tr>
      <w:tr w:rsidR="00F86E62" w:rsidRPr="00F86E62" w:rsidTr="00F86E62">
        <w:trPr>
          <w:cantSplit/>
        </w:trPr>
        <w:tc>
          <w:tcPr>
            <w:tcW w:w="6595" w:type="dxa"/>
          </w:tcPr>
          <w:p w:rsidR="00F86E62" w:rsidRPr="00F86E62" w:rsidRDefault="00F86E62" w:rsidP="004D44D5">
            <w:pPr>
              <w:pStyle w:val="TableText"/>
            </w:pPr>
            <w:r w:rsidRPr="00F86E62">
              <w:t>Overview of agency’s performance and financial results</w:t>
            </w:r>
          </w:p>
        </w:tc>
        <w:tc>
          <w:tcPr>
            <w:tcW w:w="1353" w:type="dxa"/>
          </w:tcPr>
          <w:p w:rsidR="00F86E62" w:rsidRPr="00F86E62" w:rsidRDefault="00F86E62" w:rsidP="004D44D5">
            <w:pPr>
              <w:pStyle w:val="TableText"/>
            </w:pPr>
            <w:r w:rsidRPr="00F86E62">
              <w:t>52-53</w:t>
            </w:r>
          </w:p>
        </w:tc>
      </w:tr>
      <w:tr w:rsidR="00F86E62" w:rsidRPr="00F86E62" w:rsidTr="00F86E62">
        <w:trPr>
          <w:cantSplit/>
        </w:trPr>
        <w:tc>
          <w:tcPr>
            <w:tcW w:w="6595" w:type="dxa"/>
          </w:tcPr>
          <w:p w:rsidR="00F86E62" w:rsidRPr="00F86E62" w:rsidRDefault="00F86E62" w:rsidP="004D44D5">
            <w:pPr>
              <w:pStyle w:val="TableText"/>
            </w:pPr>
            <w:r w:rsidRPr="00F86E62">
              <w:t>Outlook for following year</w:t>
            </w:r>
          </w:p>
        </w:tc>
        <w:tc>
          <w:tcPr>
            <w:tcW w:w="1353" w:type="dxa"/>
          </w:tcPr>
          <w:p w:rsidR="00F86E62" w:rsidRPr="00F86E62" w:rsidRDefault="00F86E62" w:rsidP="004D44D5">
            <w:pPr>
              <w:pStyle w:val="TableText"/>
            </w:pPr>
            <w:r w:rsidRPr="00F86E62">
              <w:t>1-3</w:t>
            </w:r>
          </w:p>
        </w:tc>
      </w:tr>
      <w:tr w:rsidR="00F86E62" w:rsidRPr="00F86E62" w:rsidTr="00F86E62">
        <w:trPr>
          <w:cantSplit/>
        </w:trPr>
        <w:tc>
          <w:tcPr>
            <w:tcW w:w="6595" w:type="dxa"/>
          </w:tcPr>
          <w:p w:rsidR="00F86E62" w:rsidRPr="00F86E62" w:rsidRDefault="00F86E62" w:rsidP="004D44D5">
            <w:pPr>
              <w:pStyle w:val="TableText"/>
            </w:pPr>
            <w:r w:rsidRPr="00F86E62">
              <w:t>Significant issues and developments – portfolio</w:t>
            </w:r>
          </w:p>
        </w:tc>
        <w:tc>
          <w:tcPr>
            <w:tcW w:w="1353" w:type="dxa"/>
          </w:tcPr>
          <w:p w:rsidR="00F86E62" w:rsidRPr="00F86E62" w:rsidRDefault="00F86E62" w:rsidP="004D44D5">
            <w:pPr>
              <w:pStyle w:val="TableText"/>
            </w:pPr>
            <w:r w:rsidRPr="00F86E62">
              <w:t>1-3</w:t>
            </w:r>
          </w:p>
        </w:tc>
      </w:tr>
      <w:tr w:rsidR="00F86E62" w:rsidRPr="00F86E62" w:rsidTr="00F86E62">
        <w:trPr>
          <w:cantSplit/>
        </w:trPr>
        <w:tc>
          <w:tcPr>
            <w:tcW w:w="6595" w:type="dxa"/>
          </w:tcPr>
          <w:p w:rsidR="00F86E62" w:rsidRPr="00F86E62" w:rsidRDefault="00F86E62" w:rsidP="004D44D5">
            <w:pPr>
              <w:pStyle w:val="TableText"/>
            </w:pPr>
            <w:r w:rsidRPr="00F86E62">
              <w:t>Role and functions</w:t>
            </w:r>
          </w:p>
        </w:tc>
        <w:tc>
          <w:tcPr>
            <w:tcW w:w="1353" w:type="dxa"/>
          </w:tcPr>
          <w:p w:rsidR="00F86E62" w:rsidRPr="00F86E62" w:rsidRDefault="00F86E62" w:rsidP="004D44D5">
            <w:pPr>
              <w:pStyle w:val="TableText"/>
            </w:pPr>
            <w:r w:rsidRPr="00F86E62">
              <w:t>6-10</w:t>
            </w:r>
          </w:p>
        </w:tc>
      </w:tr>
      <w:tr w:rsidR="00F86E62" w:rsidRPr="00F86E62" w:rsidTr="00F86E62">
        <w:trPr>
          <w:cantSplit/>
        </w:trPr>
        <w:tc>
          <w:tcPr>
            <w:tcW w:w="6595" w:type="dxa"/>
          </w:tcPr>
          <w:p w:rsidR="00F86E62" w:rsidRPr="00F86E62" w:rsidRDefault="00F86E62" w:rsidP="004D44D5">
            <w:pPr>
              <w:pStyle w:val="TableText"/>
            </w:pPr>
            <w:r w:rsidRPr="00F86E62">
              <w:t>Organisational structure</w:t>
            </w:r>
          </w:p>
        </w:tc>
        <w:tc>
          <w:tcPr>
            <w:tcW w:w="1353" w:type="dxa"/>
          </w:tcPr>
          <w:p w:rsidR="00F86E62" w:rsidRPr="00F86E62" w:rsidRDefault="00F86E62" w:rsidP="004D44D5">
            <w:pPr>
              <w:pStyle w:val="TableText"/>
            </w:pPr>
            <w:r w:rsidRPr="00F86E62">
              <w:t>13</w:t>
            </w:r>
          </w:p>
        </w:tc>
      </w:tr>
      <w:tr w:rsidR="00F86E62" w:rsidRPr="00F86E62" w:rsidTr="00F86E62">
        <w:trPr>
          <w:cantSplit/>
        </w:trPr>
        <w:tc>
          <w:tcPr>
            <w:tcW w:w="6595" w:type="dxa"/>
          </w:tcPr>
          <w:p w:rsidR="00F86E62" w:rsidRPr="00F86E62" w:rsidRDefault="00F86E62" w:rsidP="004D44D5">
            <w:pPr>
              <w:pStyle w:val="TableText"/>
            </w:pPr>
            <w:r w:rsidRPr="00F86E62">
              <w:t>Outcome and output structure</w:t>
            </w:r>
          </w:p>
        </w:tc>
        <w:tc>
          <w:tcPr>
            <w:tcW w:w="1353" w:type="dxa"/>
          </w:tcPr>
          <w:p w:rsidR="00F86E62" w:rsidRPr="00F86E62" w:rsidRDefault="00F86E62" w:rsidP="004D44D5">
            <w:pPr>
              <w:pStyle w:val="TableText"/>
            </w:pPr>
            <w:r w:rsidRPr="00F86E62">
              <w:t>22</w:t>
            </w:r>
          </w:p>
        </w:tc>
      </w:tr>
      <w:tr w:rsidR="00F86E62" w:rsidRPr="00F86E62" w:rsidTr="00F86E62">
        <w:trPr>
          <w:cantSplit/>
        </w:trPr>
        <w:tc>
          <w:tcPr>
            <w:tcW w:w="6595" w:type="dxa"/>
          </w:tcPr>
          <w:p w:rsidR="00F86E62" w:rsidRPr="00F86E62" w:rsidRDefault="00F86E62" w:rsidP="004D44D5">
            <w:pPr>
              <w:pStyle w:val="TableText"/>
            </w:pPr>
            <w:r w:rsidRPr="00F86E62">
              <w:t>Where outcome and output structures differ from PBS format, details of variation and reasons</w:t>
            </w:r>
            <w:r w:rsidR="001D1DCA">
              <w:fldChar w:fldCharType="begin"/>
            </w:r>
            <w:r w:rsidR="001D1DCA">
              <w:instrText xml:space="preserve"> XE "</w:instrText>
            </w:r>
            <w:r w:rsidR="001D1DCA" w:rsidRPr="002D7689">
              <w:instrText>reasons</w:instrText>
            </w:r>
            <w:r w:rsidR="001D1DCA">
              <w:instrText xml:space="preserve">" </w:instrText>
            </w:r>
            <w:r w:rsidR="001D1DCA">
              <w:fldChar w:fldCharType="end"/>
            </w:r>
            <w:r w:rsidRPr="00F86E62">
              <w:t xml:space="preserve"> for change</w:t>
            </w:r>
          </w:p>
        </w:tc>
        <w:tc>
          <w:tcPr>
            <w:tcW w:w="1353" w:type="dxa"/>
          </w:tcPr>
          <w:p w:rsidR="00F86E62" w:rsidRPr="00F86E62" w:rsidRDefault="00F86E62" w:rsidP="004D44D5">
            <w:pPr>
              <w:pStyle w:val="TableText"/>
            </w:pPr>
            <w:r w:rsidRPr="00F86E62">
              <w:t>N/A</w:t>
            </w:r>
          </w:p>
        </w:tc>
      </w:tr>
      <w:tr w:rsidR="00F86E62" w:rsidRPr="00F86E62" w:rsidTr="00F86E62">
        <w:trPr>
          <w:cantSplit/>
        </w:trPr>
        <w:tc>
          <w:tcPr>
            <w:tcW w:w="6595" w:type="dxa"/>
          </w:tcPr>
          <w:p w:rsidR="00F86E62" w:rsidRPr="00F86E62" w:rsidRDefault="00F86E62" w:rsidP="004D44D5">
            <w:pPr>
              <w:pStyle w:val="TableText"/>
            </w:pPr>
            <w:r w:rsidRPr="00F86E62">
              <w:t>Portfolio structure</w:t>
            </w:r>
          </w:p>
        </w:tc>
        <w:tc>
          <w:tcPr>
            <w:tcW w:w="1353" w:type="dxa"/>
          </w:tcPr>
          <w:p w:rsidR="00F86E62" w:rsidRPr="00F86E62" w:rsidRDefault="00F86E62" w:rsidP="004D44D5">
            <w:pPr>
              <w:pStyle w:val="TableText"/>
            </w:pPr>
            <w:r w:rsidRPr="00F86E62">
              <w:t>6</w:t>
            </w:r>
          </w:p>
        </w:tc>
      </w:tr>
      <w:tr w:rsidR="00F86E62" w:rsidRPr="00F86E62" w:rsidTr="00F86E62">
        <w:trPr>
          <w:cantSplit/>
        </w:trPr>
        <w:tc>
          <w:tcPr>
            <w:tcW w:w="6595" w:type="dxa"/>
          </w:tcPr>
          <w:p w:rsidR="00F86E62" w:rsidRPr="00F86E62" w:rsidRDefault="00F86E62" w:rsidP="004D44D5">
            <w:pPr>
              <w:pStyle w:val="TableText"/>
            </w:pPr>
            <w:r w:rsidRPr="00F86E62">
              <w:t>Review of performance during the year in relation to programs and contribution to outcomes</w:t>
            </w:r>
          </w:p>
        </w:tc>
        <w:tc>
          <w:tcPr>
            <w:tcW w:w="1353" w:type="dxa"/>
          </w:tcPr>
          <w:p w:rsidR="00F86E62" w:rsidRPr="00F86E62" w:rsidRDefault="00F86E62" w:rsidP="004D44D5">
            <w:pPr>
              <w:pStyle w:val="TableText"/>
            </w:pPr>
            <w:r w:rsidRPr="00F86E62">
              <w:t>15-43</w:t>
            </w:r>
          </w:p>
        </w:tc>
      </w:tr>
      <w:tr w:rsidR="00F86E62" w:rsidRPr="00F86E62" w:rsidTr="00F86E62">
        <w:trPr>
          <w:cantSplit/>
        </w:trPr>
        <w:tc>
          <w:tcPr>
            <w:tcW w:w="6595" w:type="dxa"/>
          </w:tcPr>
          <w:p w:rsidR="00F86E62" w:rsidRPr="00F86E62" w:rsidRDefault="00F86E62" w:rsidP="004D44D5">
            <w:pPr>
              <w:pStyle w:val="TableText"/>
            </w:pPr>
            <w:r w:rsidRPr="00F86E62">
              <w:t>Actual performance in relation to deliverables and KPIs set out in PB Statements/ PAES or other portfolio statements</w:t>
            </w:r>
          </w:p>
        </w:tc>
        <w:tc>
          <w:tcPr>
            <w:tcW w:w="1353" w:type="dxa"/>
          </w:tcPr>
          <w:p w:rsidR="00F86E62" w:rsidRPr="00F86E62" w:rsidRDefault="00F86E62" w:rsidP="004D44D5">
            <w:pPr>
              <w:pStyle w:val="TableText"/>
            </w:pPr>
            <w:r w:rsidRPr="00F86E62">
              <w:t>15-43</w:t>
            </w:r>
          </w:p>
        </w:tc>
      </w:tr>
      <w:tr w:rsidR="00F86E62" w:rsidRPr="00F86E62" w:rsidTr="00F86E62">
        <w:trPr>
          <w:cantSplit/>
        </w:trPr>
        <w:tc>
          <w:tcPr>
            <w:tcW w:w="6595" w:type="dxa"/>
          </w:tcPr>
          <w:p w:rsidR="00F86E62" w:rsidRPr="00F86E62" w:rsidRDefault="00F86E62" w:rsidP="004D44D5">
            <w:pPr>
              <w:pStyle w:val="TableText"/>
            </w:pPr>
            <w:r w:rsidRPr="00F86E62">
              <w:t>Where performance targets differ from the PBS/ PAES, details of both former and new targets, and reasons for the change</w:t>
            </w:r>
          </w:p>
        </w:tc>
        <w:tc>
          <w:tcPr>
            <w:tcW w:w="1353" w:type="dxa"/>
          </w:tcPr>
          <w:p w:rsidR="00F86E62" w:rsidRPr="00F86E62" w:rsidRDefault="00F86E62" w:rsidP="004D44D5">
            <w:pPr>
              <w:pStyle w:val="TableText"/>
            </w:pPr>
            <w:r w:rsidRPr="00F86E62">
              <w:t>N/A</w:t>
            </w:r>
          </w:p>
        </w:tc>
      </w:tr>
      <w:tr w:rsidR="00F86E62" w:rsidRPr="00F86E62" w:rsidTr="00F86E62">
        <w:trPr>
          <w:cantSplit/>
        </w:trPr>
        <w:tc>
          <w:tcPr>
            <w:tcW w:w="6595" w:type="dxa"/>
          </w:tcPr>
          <w:p w:rsidR="00F86E62" w:rsidRPr="00F86E62" w:rsidRDefault="00F86E62" w:rsidP="004D44D5">
            <w:pPr>
              <w:pStyle w:val="TableText"/>
            </w:pPr>
            <w:r w:rsidRPr="00F86E62">
              <w:t>Narrative discussion and analysis of performance</w:t>
            </w:r>
          </w:p>
        </w:tc>
        <w:tc>
          <w:tcPr>
            <w:tcW w:w="1353" w:type="dxa"/>
          </w:tcPr>
          <w:p w:rsidR="00F86E62" w:rsidRPr="00F86E62" w:rsidRDefault="00F86E62" w:rsidP="004D44D5">
            <w:pPr>
              <w:pStyle w:val="TableText"/>
            </w:pPr>
            <w:r w:rsidRPr="00F86E62">
              <w:t>15-43</w:t>
            </w:r>
          </w:p>
        </w:tc>
      </w:tr>
      <w:tr w:rsidR="00F86E62" w:rsidRPr="00F86E62" w:rsidTr="00F86E62">
        <w:trPr>
          <w:cantSplit/>
        </w:trPr>
        <w:tc>
          <w:tcPr>
            <w:tcW w:w="6595" w:type="dxa"/>
          </w:tcPr>
          <w:p w:rsidR="00F86E62" w:rsidRPr="00F86E62" w:rsidRDefault="00F86E62" w:rsidP="004D44D5">
            <w:pPr>
              <w:pStyle w:val="TableText"/>
            </w:pPr>
            <w:r w:rsidRPr="00F86E62">
              <w:t>Trend information</w:t>
            </w:r>
          </w:p>
        </w:tc>
        <w:tc>
          <w:tcPr>
            <w:tcW w:w="1353" w:type="dxa"/>
          </w:tcPr>
          <w:p w:rsidR="00F86E62" w:rsidRPr="00F86E62" w:rsidRDefault="00F86E62" w:rsidP="004D44D5">
            <w:pPr>
              <w:pStyle w:val="TableText"/>
            </w:pPr>
            <w:r w:rsidRPr="00F86E62">
              <w:t>1-3, 15-43</w:t>
            </w:r>
          </w:p>
        </w:tc>
      </w:tr>
      <w:tr w:rsidR="00F86E62" w:rsidRPr="00F86E62" w:rsidTr="00F86E62">
        <w:trPr>
          <w:cantSplit/>
        </w:trPr>
        <w:tc>
          <w:tcPr>
            <w:tcW w:w="6595" w:type="dxa"/>
          </w:tcPr>
          <w:p w:rsidR="00F86E62" w:rsidRPr="00F86E62" w:rsidRDefault="00F86E62" w:rsidP="004D44D5">
            <w:pPr>
              <w:pStyle w:val="TableText"/>
            </w:pPr>
            <w:r w:rsidRPr="00F86E62">
              <w:t>Factors, events or trends influencing agency performance</w:t>
            </w:r>
          </w:p>
        </w:tc>
        <w:tc>
          <w:tcPr>
            <w:tcW w:w="1353" w:type="dxa"/>
          </w:tcPr>
          <w:p w:rsidR="00F86E62" w:rsidRPr="00F86E62" w:rsidRDefault="00F86E62" w:rsidP="004D44D5">
            <w:pPr>
              <w:pStyle w:val="TableText"/>
            </w:pPr>
            <w:r w:rsidRPr="00F86E62">
              <w:t>1-3, 15-43</w:t>
            </w:r>
          </w:p>
        </w:tc>
      </w:tr>
      <w:tr w:rsidR="00F86E62" w:rsidRPr="00F86E62" w:rsidTr="00F86E62">
        <w:trPr>
          <w:cantSplit/>
        </w:trPr>
        <w:tc>
          <w:tcPr>
            <w:tcW w:w="6595" w:type="dxa"/>
          </w:tcPr>
          <w:p w:rsidR="00F86E62" w:rsidRPr="00F86E62" w:rsidRDefault="00F86E62" w:rsidP="004D44D5">
            <w:pPr>
              <w:pStyle w:val="TableText"/>
            </w:pPr>
            <w:r w:rsidRPr="00F86E62">
              <w:t>Significant changes in nature of principal functions or services</w:t>
            </w:r>
          </w:p>
        </w:tc>
        <w:tc>
          <w:tcPr>
            <w:tcW w:w="1353" w:type="dxa"/>
          </w:tcPr>
          <w:p w:rsidR="00F86E62" w:rsidRPr="00F86E62" w:rsidRDefault="00F86E62" w:rsidP="004D44D5">
            <w:pPr>
              <w:pStyle w:val="TableText"/>
            </w:pPr>
            <w:r w:rsidRPr="00F86E62">
              <w:t>1-3, 15-43</w:t>
            </w:r>
          </w:p>
        </w:tc>
      </w:tr>
      <w:tr w:rsidR="00F86E62" w:rsidRPr="00F86E62" w:rsidTr="00F86E62">
        <w:trPr>
          <w:cantSplit/>
        </w:trPr>
        <w:tc>
          <w:tcPr>
            <w:tcW w:w="6595" w:type="dxa"/>
          </w:tcPr>
          <w:p w:rsidR="00F86E62" w:rsidRPr="00F86E62" w:rsidRDefault="00F86E62" w:rsidP="004D44D5">
            <w:pPr>
              <w:pStyle w:val="TableText"/>
            </w:pPr>
            <w:r w:rsidRPr="00F86E62">
              <w:t>Performance against service charter customer service standards, complaints data, and the department’s response to complaints</w:t>
            </w:r>
          </w:p>
        </w:tc>
        <w:tc>
          <w:tcPr>
            <w:tcW w:w="1353" w:type="dxa"/>
          </w:tcPr>
          <w:p w:rsidR="00F86E62" w:rsidRPr="00F86E62" w:rsidRDefault="00F86E62" w:rsidP="004D44D5">
            <w:pPr>
              <w:pStyle w:val="TableText"/>
            </w:pPr>
            <w:r w:rsidRPr="00F86E62">
              <w:t>40</w:t>
            </w:r>
          </w:p>
        </w:tc>
      </w:tr>
      <w:tr w:rsidR="00F86E62" w:rsidRPr="00F86E62" w:rsidTr="00F86E62">
        <w:trPr>
          <w:cantSplit/>
        </w:trPr>
        <w:tc>
          <w:tcPr>
            <w:tcW w:w="6595" w:type="dxa"/>
          </w:tcPr>
          <w:p w:rsidR="00F86E62" w:rsidRPr="00F86E62" w:rsidRDefault="00F86E62" w:rsidP="004D44D5">
            <w:pPr>
              <w:pStyle w:val="TableText"/>
            </w:pPr>
            <w:r w:rsidRPr="00F86E62">
              <w:lastRenderedPageBreak/>
              <w:t>Social inclusion outcomes</w:t>
            </w:r>
          </w:p>
        </w:tc>
        <w:tc>
          <w:tcPr>
            <w:tcW w:w="1353" w:type="dxa"/>
          </w:tcPr>
          <w:p w:rsidR="00F86E62" w:rsidRPr="00F86E62" w:rsidRDefault="00F86E62" w:rsidP="004D44D5">
            <w:pPr>
              <w:pStyle w:val="TableText"/>
            </w:pPr>
            <w:r w:rsidRPr="00F86E62">
              <w:t>52</w:t>
            </w:r>
          </w:p>
        </w:tc>
      </w:tr>
      <w:tr w:rsidR="00F86E62" w:rsidRPr="00F86E62" w:rsidTr="00F86E62">
        <w:trPr>
          <w:cantSplit/>
        </w:trPr>
        <w:tc>
          <w:tcPr>
            <w:tcW w:w="6595" w:type="dxa"/>
          </w:tcPr>
          <w:p w:rsidR="00F86E62" w:rsidRPr="00F86E62" w:rsidRDefault="00F86E62" w:rsidP="004D44D5">
            <w:pPr>
              <w:pStyle w:val="TableText"/>
            </w:pPr>
            <w:r w:rsidRPr="00F86E62">
              <w:t>Discussion and analysis of the agency’s financial performance</w:t>
            </w:r>
          </w:p>
        </w:tc>
        <w:tc>
          <w:tcPr>
            <w:tcW w:w="1353" w:type="dxa"/>
          </w:tcPr>
          <w:p w:rsidR="00F86E62" w:rsidRPr="00F86E62" w:rsidRDefault="00F86E62" w:rsidP="004D44D5">
            <w:pPr>
              <w:pStyle w:val="TableText"/>
            </w:pPr>
            <w:r w:rsidRPr="00F86E62">
              <w:t>52-53</w:t>
            </w:r>
          </w:p>
        </w:tc>
      </w:tr>
      <w:tr w:rsidR="00F86E62" w:rsidRPr="00F86E62" w:rsidTr="00F86E62">
        <w:trPr>
          <w:cantSplit/>
        </w:trPr>
        <w:tc>
          <w:tcPr>
            <w:tcW w:w="6595" w:type="dxa"/>
          </w:tcPr>
          <w:p w:rsidR="00F86E62" w:rsidRPr="00F86E62" w:rsidRDefault="00F86E62" w:rsidP="004D44D5">
            <w:pPr>
              <w:pStyle w:val="TableText"/>
            </w:pPr>
            <w:r w:rsidRPr="00F86E62">
              <w:t>Discussion of any significant changes from the prior year or from budget or anticipated to have a significant impact on future operations</w:t>
            </w:r>
          </w:p>
        </w:tc>
        <w:tc>
          <w:tcPr>
            <w:tcW w:w="1353" w:type="dxa"/>
          </w:tcPr>
          <w:p w:rsidR="00F86E62" w:rsidRPr="00F86E62" w:rsidRDefault="00F86E62" w:rsidP="004D44D5">
            <w:pPr>
              <w:pStyle w:val="TableText"/>
            </w:pPr>
            <w:r w:rsidRPr="00F86E62">
              <w:t>1-3</w:t>
            </w:r>
          </w:p>
        </w:tc>
      </w:tr>
      <w:tr w:rsidR="00F86E62" w:rsidRPr="00F86E62" w:rsidTr="00F86E62">
        <w:trPr>
          <w:cantSplit/>
        </w:trPr>
        <w:tc>
          <w:tcPr>
            <w:tcW w:w="6595" w:type="dxa"/>
          </w:tcPr>
          <w:p w:rsidR="00F86E62" w:rsidRPr="00F86E62" w:rsidRDefault="00F86E62" w:rsidP="004D44D5">
            <w:pPr>
              <w:pStyle w:val="TableText"/>
            </w:pPr>
            <w:r w:rsidRPr="00F86E62">
              <w:t>Summary resource tables by outcomes</w:t>
            </w:r>
          </w:p>
        </w:tc>
        <w:tc>
          <w:tcPr>
            <w:tcW w:w="1353" w:type="dxa"/>
          </w:tcPr>
          <w:p w:rsidR="00F86E62" w:rsidRPr="00F86E62" w:rsidRDefault="00F86E62" w:rsidP="004D44D5">
            <w:pPr>
              <w:pStyle w:val="TableText"/>
            </w:pPr>
            <w:r w:rsidRPr="00F86E62">
              <w:t>53</w:t>
            </w:r>
          </w:p>
        </w:tc>
      </w:tr>
      <w:tr w:rsidR="00F86E62" w:rsidRPr="00F86E62" w:rsidTr="00F86E62">
        <w:trPr>
          <w:cantSplit/>
        </w:trPr>
        <w:tc>
          <w:tcPr>
            <w:tcW w:w="6595" w:type="dxa"/>
          </w:tcPr>
          <w:p w:rsidR="00F86E62" w:rsidRPr="00F86E62" w:rsidRDefault="00F86E62" w:rsidP="004D44D5">
            <w:pPr>
              <w:pStyle w:val="TableText"/>
            </w:pPr>
            <w:r w:rsidRPr="00F86E62">
              <w:t>Statement of the main corporate governance practices in place</w:t>
            </w:r>
          </w:p>
        </w:tc>
        <w:tc>
          <w:tcPr>
            <w:tcW w:w="1353" w:type="dxa"/>
          </w:tcPr>
          <w:p w:rsidR="00F86E62" w:rsidRPr="00F86E62" w:rsidRDefault="00F86E62" w:rsidP="004D44D5">
            <w:pPr>
              <w:pStyle w:val="TableText"/>
            </w:pPr>
            <w:r w:rsidRPr="00F86E62">
              <w:t>44-54</w:t>
            </w:r>
          </w:p>
        </w:tc>
      </w:tr>
      <w:tr w:rsidR="00F86E62" w:rsidRPr="00F86E62" w:rsidTr="00F86E62">
        <w:trPr>
          <w:cantSplit/>
        </w:trPr>
        <w:tc>
          <w:tcPr>
            <w:tcW w:w="6595" w:type="dxa"/>
          </w:tcPr>
          <w:p w:rsidR="00F86E62" w:rsidRPr="00F86E62" w:rsidRDefault="00F86E62" w:rsidP="004D44D5">
            <w:pPr>
              <w:pStyle w:val="TableText"/>
            </w:pPr>
            <w:r w:rsidRPr="00F86E62">
              <w:t>Names of the senior executive and their responsibilities</w:t>
            </w:r>
          </w:p>
        </w:tc>
        <w:tc>
          <w:tcPr>
            <w:tcW w:w="1353" w:type="dxa"/>
          </w:tcPr>
          <w:p w:rsidR="00F86E62" w:rsidRPr="00F86E62" w:rsidRDefault="00F86E62" w:rsidP="004D44D5">
            <w:pPr>
              <w:pStyle w:val="TableText"/>
            </w:pPr>
            <w:r w:rsidRPr="00F86E62">
              <w:t>13, 50</w:t>
            </w:r>
          </w:p>
        </w:tc>
      </w:tr>
      <w:tr w:rsidR="00F86E62" w:rsidRPr="00F86E62" w:rsidTr="00F86E62">
        <w:trPr>
          <w:cantSplit/>
        </w:trPr>
        <w:tc>
          <w:tcPr>
            <w:tcW w:w="6595" w:type="dxa"/>
          </w:tcPr>
          <w:p w:rsidR="00F86E62" w:rsidRPr="00F86E62" w:rsidRDefault="00F86E62" w:rsidP="004D44D5">
            <w:pPr>
              <w:pStyle w:val="TableText"/>
            </w:pPr>
            <w:r w:rsidRPr="00F86E62">
              <w:t>Senior management committees and their roles</w:t>
            </w:r>
          </w:p>
        </w:tc>
        <w:tc>
          <w:tcPr>
            <w:tcW w:w="1353" w:type="dxa"/>
          </w:tcPr>
          <w:p w:rsidR="00F86E62" w:rsidRPr="00F86E62" w:rsidRDefault="00F86E62" w:rsidP="004D44D5">
            <w:pPr>
              <w:pStyle w:val="TableText"/>
            </w:pPr>
            <w:r w:rsidRPr="00F86E62">
              <w:t>50</w:t>
            </w:r>
          </w:p>
        </w:tc>
      </w:tr>
      <w:tr w:rsidR="00F86E62" w:rsidRPr="00F86E62" w:rsidTr="00F86E62">
        <w:trPr>
          <w:cantSplit/>
        </w:trPr>
        <w:tc>
          <w:tcPr>
            <w:tcW w:w="6595" w:type="dxa"/>
          </w:tcPr>
          <w:p w:rsidR="00F86E62" w:rsidRPr="00F86E62" w:rsidRDefault="00F86E62" w:rsidP="004D44D5">
            <w:pPr>
              <w:pStyle w:val="TableText"/>
            </w:pPr>
            <w:r w:rsidRPr="00F86E62">
              <w:t>Corporate and operational planning and associated performance reporting and review</w:t>
            </w:r>
          </w:p>
        </w:tc>
        <w:tc>
          <w:tcPr>
            <w:tcW w:w="1353" w:type="dxa"/>
          </w:tcPr>
          <w:p w:rsidR="00F86E62" w:rsidRPr="00F86E62" w:rsidRDefault="00F86E62" w:rsidP="004D44D5">
            <w:pPr>
              <w:pStyle w:val="TableText"/>
            </w:pPr>
            <w:r w:rsidRPr="00F86E62">
              <w:t>50</w:t>
            </w:r>
          </w:p>
        </w:tc>
      </w:tr>
      <w:tr w:rsidR="00F86E62" w:rsidRPr="00F86E62" w:rsidTr="00F86E62">
        <w:trPr>
          <w:cantSplit/>
        </w:trPr>
        <w:tc>
          <w:tcPr>
            <w:tcW w:w="6595" w:type="dxa"/>
          </w:tcPr>
          <w:p w:rsidR="00F86E62" w:rsidRPr="00F86E62" w:rsidRDefault="00F86E62" w:rsidP="004D44D5">
            <w:pPr>
              <w:pStyle w:val="TableText"/>
            </w:pPr>
            <w:r w:rsidRPr="00F86E62">
              <w:t>Approach adopted to identifying areas of significant financial or operational risk and arrangements in place to manage risks</w:t>
            </w:r>
          </w:p>
        </w:tc>
        <w:tc>
          <w:tcPr>
            <w:tcW w:w="1353" w:type="dxa"/>
          </w:tcPr>
          <w:p w:rsidR="00F86E62" w:rsidRPr="00F86E62" w:rsidRDefault="00F86E62" w:rsidP="004D44D5">
            <w:pPr>
              <w:pStyle w:val="TableText"/>
            </w:pPr>
            <w:r w:rsidRPr="00F86E62">
              <w:t>54</w:t>
            </w:r>
          </w:p>
        </w:tc>
      </w:tr>
      <w:tr w:rsidR="00F86E62" w:rsidRPr="00F86E62" w:rsidTr="00F86E62">
        <w:trPr>
          <w:cantSplit/>
        </w:trPr>
        <w:tc>
          <w:tcPr>
            <w:tcW w:w="6595" w:type="dxa"/>
          </w:tcPr>
          <w:p w:rsidR="00F86E62" w:rsidRPr="00F86E62" w:rsidRDefault="00F86E62" w:rsidP="004D44D5">
            <w:pPr>
              <w:pStyle w:val="TableText"/>
            </w:pPr>
            <w:r w:rsidRPr="00F86E62">
              <w:t>Agency heads are required to certify that their agency comply with the Commonwealth Fraud Control Guidelines</w:t>
            </w:r>
          </w:p>
        </w:tc>
        <w:tc>
          <w:tcPr>
            <w:tcW w:w="1353" w:type="dxa"/>
          </w:tcPr>
          <w:p w:rsidR="00F86E62" w:rsidRPr="00F86E62" w:rsidRDefault="00F86E62" w:rsidP="004D44D5">
            <w:pPr>
              <w:pStyle w:val="TableText"/>
            </w:pPr>
            <w:r w:rsidRPr="00F86E62">
              <w:t>54</w:t>
            </w:r>
          </w:p>
        </w:tc>
      </w:tr>
      <w:tr w:rsidR="00F86E62" w:rsidRPr="00F86E62" w:rsidTr="00F86E62">
        <w:trPr>
          <w:cantSplit/>
        </w:trPr>
        <w:tc>
          <w:tcPr>
            <w:tcW w:w="6595" w:type="dxa"/>
          </w:tcPr>
          <w:p w:rsidR="00F86E62" w:rsidRPr="00F86E62" w:rsidRDefault="00F86E62" w:rsidP="004D44D5">
            <w:pPr>
              <w:pStyle w:val="TableText"/>
            </w:pPr>
            <w:r w:rsidRPr="00F86E62">
              <w:t>Policy and practices on the establishment and maintenance of appropriate ethical standards</w:t>
            </w:r>
          </w:p>
        </w:tc>
        <w:tc>
          <w:tcPr>
            <w:tcW w:w="1353" w:type="dxa"/>
          </w:tcPr>
          <w:p w:rsidR="00F86E62" w:rsidRPr="00F86E62" w:rsidRDefault="00F86E62" w:rsidP="004D44D5">
            <w:pPr>
              <w:pStyle w:val="TableText"/>
            </w:pPr>
            <w:r w:rsidRPr="00F86E62">
              <w:t>49</w:t>
            </w:r>
          </w:p>
        </w:tc>
      </w:tr>
      <w:tr w:rsidR="00F86E62" w:rsidRPr="00F86E62" w:rsidTr="00F86E62">
        <w:trPr>
          <w:cantSplit/>
        </w:trPr>
        <w:tc>
          <w:tcPr>
            <w:tcW w:w="6595" w:type="dxa"/>
          </w:tcPr>
          <w:p w:rsidR="00F86E62" w:rsidRPr="00F86E62" w:rsidRDefault="00F86E62" w:rsidP="004D44D5">
            <w:pPr>
              <w:pStyle w:val="TableText"/>
            </w:pPr>
            <w:r w:rsidRPr="00F86E62">
              <w:t>How nature and amount of remuneration for SES officers is determined</w:t>
            </w:r>
          </w:p>
        </w:tc>
        <w:tc>
          <w:tcPr>
            <w:tcW w:w="1353" w:type="dxa"/>
          </w:tcPr>
          <w:p w:rsidR="00F86E62" w:rsidRPr="00F86E62" w:rsidRDefault="00F86E62" w:rsidP="004D44D5">
            <w:pPr>
              <w:pStyle w:val="TableText"/>
            </w:pPr>
            <w:r w:rsidRPr="00F86E62">
              <w:t>N/A</w:t>
            </w:r>
          </w:p>
        </w:tc>
      </w:tr>
      <w:tr w:rsidR="00F86E62" w:rsidRPr="00F86E62" w:rsidTr="00F86E62">
        <w:trPr>
          <w:cantSplit/>
        </w:trPr>
        <w:tc>
          <w:tcPr>
            <w:tcW w:w="6595" w:type="dxa"/>
          </w:tcPr>
          <w:p w:rsidR="00F86E62" w:rsidRPr="00F86E62" w:rsidRDefault="00F86E62" w:rsidP="004D44D5">
            <w:pPr>
              <w:pStyle w:val="TableText"/>
            </w:pPr>
            <w:r w:rsidRPr="00F86E62">
              <w:t>Significant developments in external scrutiny</w:t>
            </w:r>
          </w:p>
        </w:tc>
        <w:tc>
          <w:tcPr>
            <w:tcW w:w="1353" w:type="dxa"/>
          </w:tcPr>
          <w:p w:rsidR="00F86E62" w:rsidRPr="00F86E62" w:rsidRDefault="00F86E62" w:rsidP="004D44D5">
            <w:pPr>
              <w:pStyle w:val="TableText"/>
            </w:pPr>
            <w:r w:rsidRPr="00F86E62">
              <w:t>57</w:t>
            </w:r>
          </w:p>
        </w:tc>
      </w:tr>
      <w:tr w:rsidR="00F86E62" w:rsidRPr="00F86E62" w:rsidTr="00F86E62">
        <w:trPr>
          <w:cantSplit/>
        </w:trPr>
        <w:tc>
          <w:tcPr>
            <w:tcW w:w="6595" w:type="dxa"/>
          </w:tcPr>
          <w:p w:rsidR="00F86E62" w:rsidRPr="00F86E62" w:rsidRDefault="00F86E62" w:rsidP="004D44D5">
            <w:pPr>
              <w:pStyle w:val="TableText"/>
            </w:pPr>
            <w:r w:rsidRPr="00F86E62">
              <w:t>Judicial decisions and decisions of administrative tribunals</w:t>
            </w:r>
          </w:p>
        </w:tc>
        <w:tc>
          <w:tcPr>
            <w:tcW w:w="1353" w:type="dxa"/>
          </w:tcPr>
          <w:p w:rsidR="00F86E62" w:rsidRPr="00F86E62" w:rsidRDefault="00F86E62" w:rsidP="004D44D5">
            <w:pPr>
              <w:pStyle w:val="TableText"/>
            </w:pPr>
            <w:r w:rsidRPr="00F86E62">
              <w:t>55</w:t>
            </w:r>
          </w:p>
        </w:tc>
      </w:tr>
      <w:tr w:rsidR="00F86E62" w:rsidRPr="00F86E62" w:rsidTr="00F86E62">
        <w:trPr>
          <w:cantSplit/>
        </w:trPr>
        <w:tc>
          <w:tcPr>
            <w:tcW w:w="6595" w:type="dxa"/>
          </w:tcPr>
          <w:p w:rsidR="00F86E62" w:rsidRPr="00F86E62" w:rsidRDefault="00F86E62" w:rsidP="004D44D5">
            <w:pPr>
              <w:pStyle w:val="TableText"/>
            </w:pPr>
            <w:r w:rsidRPr="00F86E62">
              <w:t>Reports by the Auditor-General, a Parliamentary Committee or the Commonwealth Ombudsman</w:t>
            </w:r>
          </w:p>
        </w:tc>
        <w:tc>
          <w:tcPr>
            <w:tcW w:w="1353" w:type="dxa"/>
          </w:tcPr>
          <w:p w:rsidR="00F86E62" w:rsidRPr="00F86E62" w:rsidRDefault="00F86E62" w:rsidP="004D44D5">
            <w:pPr>
              <w:pStyle w:val="TableText"/>
            </w:pPr>
            <w:r w:rsidRPr="00F86E62">
              <w:t>57</w:t>
            </w:r>
          </w:p>
        </w:tc>
      </w:tr>
      <w:tr w:rsidR="00F86E62" w:rsidRPr="00F86E62" w:rsidTr="00F86E62">
        <w:trPr>
          <w:cantSplit/>
        </w:trPr>
        <w:tc>
          <w:tcPr>
            <w:tcW w:w="6595" w:type="dxa"/>
          </w:tcPr>
          <w:p w:rsidR="00F86E62" w:rsidRPr="00F86E62" w:rsidRDefault="00F86E62" w:rsidP="004D44D5">
            <w:pPr>
              <w:pStyle w:val="TableText"/>
            </w:pPr>
            <w:r w:rsidRPr="00F86E62">
              <w:t>Workforce planning, staff</w:t>
            </w:r>
            <w:r w:rsidR="0005789C">
              <w:fldChar w:fldCharType="begin"/>
            </w:r>
            <w:r w:rsidR="0005789C">
              <w:instrText xml:space="preserve"> XE "</w:instrText>
            </w:r>
            <w:r w:rsidR="0005789C" w:rsidRPr="002D7689">
              <w:instrText>staff</w:instrText>
            </w:r>
            <w:r w:rsidR="0005789C">
              <w:instrText xml:space="preserve">" </w:instrText>
            </w:r>
            <w:r w:rsidR="0005789C">
              <w:fldChar w:fldCharType="end"/>
            </w:r>
            <w:r w:rsidRPr="00F86E62">
              <w:t xml:space="preserve"> turnover and retention</w:t>
            </w:r>
          </w:p>
        </w:tc>
        <w:tc>
          <w:tcPr>
            <w:tcW w:w="1353" w:type="dxa"/>
          </w:tcPr>
          <w:p w:rsidR="00F86E62" w:rsidRPr="00F86E62" w:rsidRDefault="00F86E62" w:rsidP="004D44D5">
            <w:pPr>
              <w:pStyle w:val="TableText"/>
            </w:pPr>
            <w:r w:rsidRPr="00F86E62">
              <w:t>45</w:t>
            </w:r>
          </w:p>
        </w:tc>
      </w:tr>
      <w:tr w:rsidR="00F86E62" w:rsidRPr="00F86E62" w:rsidTr="00F86E62">
        <w:trPr>
          <w:cantSplit/>
        </w:trPr>
        <w:tc>
          <w:tcPr>
            <w:tcW w:w="6595" w:type="dxa"/>
          </w:tcPr>
          <w:p w:rsidR="00F86E62" w:rsidRPr="00F86E62" w:rsidRDefault="00F86E62" w:rsidP="004D44D5">
            <w:pPr>
              <w:pStyle w:val="TableText"/>
            </w:pPr>
            <w:r w:rsidRPr="00F86E62">
              <w:t>Assessment of effectiveness in managing and developing human resources to achieve departmental objectives</w:t>
            </w:r>
          </w:p>
        </w:tc>
        <w:tc>
          <w:tcPr>
            <w:tcW w:w="1353" w:type="dxa"/>
          </w:tcPr>
          <w:p w:rsidR="00F86E62" w:rsidRPr="00F86E62" w:rsidRDefault="00F86E62" w:rsidP="004D44D5">
            <w:pPr>
              <w:pStyle w:val="TableText"/>
            </w:pPr>
            <w:r w:rsidRPr="00F86E62">
              <w:t>51</w:t>
            </w:r>
          </w:p>
        </w:tc>
      </w:tr>
      <w:tr w:rsidR="00F86E62" w:rsidRPr="00F86E62" w:rsidTr="00F86E62">
        <w:trPr>
          <w:cantSplit/>
        </w:trPr>
        <w:tc>
          <w:tcPr>
            <w:tcW w:w="6595" w:type="dxa"/>
          </w:tcPr>
          <w:p w:rsidR="00F86E62" w:rsidRPr="00F86E62" w:rsidRDefault="00F86E62" w:rsidP="004D44D5">
            <w:pPr>
              <w:pStyle w:val="TableText"/>
            </w:pPr>
            <w:r w:rsidRPr="00F86E62">
              <w:t>Impact and features of enterprise or collective agreements, individual flexibility arrangements (IFAs) , determinations , common law contracts and AWAs</w:t>
            </w:r>
          </w:p>
        </w:tc>
        <w:tc>
          <w:tcPr>
            <w:tcW w:w="1353" w:type="dxa"/>
          </w:tcPr>
          <w:p w:rsidR="00F86E62" w:rsidRPr="00F86E62" w:rsidRDefault="00F86E62" w:rsidP="004D44D5">
            <w:pPr>
              <w:pStyle w:val="TableText"/>
            </w:pPr>
            <w:r w:rsidRPr="00F86E62">
              <w:t>45</w:t>
            </w:r>
          </w:p>
        </w:tc>
      </w:tr>
      <w:tr w:rsidR="00F86E62" w:rsidRPr="00F86E62" w:rsidTr="00F86E62">
        <w:trPr>
          <w:cantSplit/>
        </w:trPr>
        <w:tc>
          <w:tcPr>
            <w:tcW w:w="6595" w:type="dxa"/>
          </w:tcPr>
          <w:p w:rsidR="00F86E62" w:rsidRPr="00F86E62" w:rsidRDefault="00F86E62" w:rsidP="004D44D5">
            <w:pPr>
              <w:pStyle w:val="TableText"/>
            </w:pPr>
            <w:r w:rsidRPr="00F86E62">
              <w:t>Training and development undertaken and its impact</w:t>
            </w:r>
          </w:p>
        </w:tc>
        <w:tc>
          <w:tcPr>
            <w:tcW w:w="1353" w:type="dxa"/>
          </w:tcPr>
          <w:p w:rsidR="00F86E62" w:rsidRPr="00F86E62" w:rsidRDefault="00F86E62" w:rsidP="004D44D5">
            <w:pPr>
              <w:pStyle w:val="TableText"/>
            </w:pPr>
            <w:r w:rsidRPr="00F86E62">
              <w:t>51</w:t>
            </w:r>
          </w:p>
        </w:tc>
      </w:tr>
      <w:tr w:rsidR="00F86E62" w:rsidRPr="00F86E62" w:rsidTr="00F86E62">
        <w:trPr>
          <w:cantSplit/>
        </w:trPr>
        <w:tc>
          <w:tcPr>
            <w:tcW w:w="6595" w:type="dxa"/>
          </w:tcPr>
          <w:p w:rsidR="00F86E62" w:rsidRPr="00F86E62" w:rsidRDefault="00F86E62" w:rsidP="004D44D5">
            <w:pPr>
              <w:pStyle w:val="TableText"/>
            </w:pPr>
            <w:r w:rsidRPr="00F86E62">
              <w:t>Work health and safety performance</w:t>
            </w:r>
            <w:r w:rsidR="004A74AE">
              <w:fldChar w:fldCharType="begin"/>
            </w:r>
            <w:r w:rsidR="004A74AE">
              <w:instrText xml:space="preserve"> XE "</w:instrText>
            </w:r>
            <w:r w:rsidR="004A74AE" w:rsidRPr="002D7689">
              <w:instrText>work health and safety</w:instrText>
            </w:r>
            <w:r w:rsidR="004A74AE">
              <w:instrText xml:space="preserve">" </w:instrText>
            </w:r>
            <w:r w:rsidR="004A74AE">
              <w:fldChar w:fldCharType="end"/>
            </w:r>
          </w:p>
        </w:tc>
        <w:tc>
          <w:tcPr>
            <w:tcW w:w="1353" w:type="dxa"/>
          </w:tcPr>
          <w:p w:rsidR="00F86E62" w:rsidRPr="00F86E62" w:rsidRDefault="00F86E62" w:rsidP="004D44D5">
            <w:pPr>
              <w:pStyle w:val="TableText"/>
            </w:pPr>
            <w:r w:rsidRPr="00F86E62">
              <w:t>52</w:t>
            </w:r>
          </w:p>
        </w:tc>
      </w:tr>
      <w:tr w:rsidR="00F86E62" w:rsidRPr="00F86E62" w:rsidTr="00F86E62">
        <w:trPr>
          <w:cantSplit/>
        </w:trPr>
        <w:tc>
          <w:tcPr>
            <w:tcW w:w="6595" w:type="dxa"/>
          </w:tcPr>
          <w:p w:rsidR="00F86E62" w:rsidRPr="00F86E62" w:rsidRDefault="00F86E62" w:rsidP="004D44D5">
            <w:pPr>
              <w:pStyle w:val="TableText"/>
            </w:pPr>
            <w:r w:rsidRPr="00F86E62">
              <w:t>Productivity gains</w:t>
            </w:r>
          </w:p>
        </w:tc>
        <w:tc>
          <w:tcPr>
            <w:tcW w:w="1353" w:type="dxa"/>
          </w:tcPr>
          <w:p w:rsidR="00F86E62" w:rsidRPr="00F86E62" w:rsidRDefault="00F86E62" w:rsidP="004D44D5">
            <w:pPr>
              <w:pStyle w:val="TableText"/>
            </w:pPr>
            <w:r w:rsidRPr="00F86E62">
              <w:t>16-23</w:t>
            </w:r>
          </w:p>
        </w:tc>
      </w:tr>
      <w:tr w:rsidR="00F86E62" w:rsidRPr="00F86E62" w:rsidTr="00F86E62">
        <w:trPr>
          <w:cantSplit/>
        </w:trPr>
        <w:tc>
          <w:tcPr>
            <w:tcW w:w="6595" w:type="dxa"/>
          </w:tcPr>
          <w:p w:rsidR="00F86E62" w:rsidRPr="00F86E62" w:rsidRDefault="00F86E62" w:rsidP="004D44D5">
            <w:pPr>
              <w:pStyle w:val="TableText"/>
            </w:pPr>
            <w:r w:rsidRPr="00F86E62">
              <w:t>Statistics on staffing</w:t>
            </w:r>
          </w:p>
        </w:tc>
        <w:tc>
          <w:tcPr>
            <w:tcW w:w="1353" w:type="dxa"/>
          </w:tcPr>
          <w:p w:rsidR="00F86E62" w:rsidRPr="00F86E62" w:rsidRDefault="00F86E62" w:rsidP="004D44D5">
            <w:pPr>
              <w:pStyle w:val="TableText"/>
            </w:pPr>
            <w:r w:rsidRPr="00F86E62">
              <w:t>45</w:t>
            </w:r>
          </w:p>
        </w:tc>
      </w:tr>
      <w:tr w:rsidR="00F86E62" w:rsidRPr="00F86E62" w:rsidTr="00F86E62">
        <w:trPr>
          <w:cantSplit/>
        </w:trPr>
        <w:tc>
          <w:tcPr>
            <w:tcW w:w="6595" w:type="dxa"/>
          </w:tcPr>
          <w:p w:rsidR="00F86E62" w:rsidRPr="00F86E62" w:rsidRDefault="00F86E62" w:rsidP="004D44D5">
            <w:pPr>
              <w:pStyle w:val="TableText"/>
            </w:pPr>
            <w:r w:rsidRPr="00F86E62">
              <w:t>Enterprise or collective agreements, IFAs, determinations , common law contracts and AWAs</w:t>
            </w:r>
          </w:p>
        </w:tc>
        <w:tc>
          <w:tcPr>
            <w:tcW w:w="1353" w:type="dxa"/>
          </w:tcPr>
          <w:p w:rsidR="00F86E62" w:rsidRPr="00F86E62" w:rsidRDefault="00F86E62" w:rsidP="004D44D5">
            <w:pPr>
              <w:pStyle w:val="TableText"/>
            </w:pPr>
            <w:r w:rsidRPr="00F86E62">
              <w:t>45</w:t>
            </w:r>
          </w:p>
        </w:tc>
      </w:tr>
      <w:tr w:rsidR="00F86E62" w:rsidRPr="00F86E62" w:rsidTr="00F86E62">
        <w:trPr>
          <w:cantSplit/>
        </w:trPr>
        <w:tc>
          <w:tcPr>
            <w:tcW w:w="6595" w:type="dxa"/>
          </w:tcPr>
          <w:p w:rsidR="00F86E62" w:rsidRPr="00F86E62" w:rsidRDefault="00F86E62" w:rsidP="004D44D5">
            <w:pPr>
              <w:pStyle w:val="TableText"/>
            </w:pPr>
            <w:r w:rsidRPr="00F86E62">
              <w:t>Performance pay</w:t>
            </w:r>
          </w:p>
        </w:tc>
        <w:tc>
          <w:tcPr>
            <w:tcW w:w="1353" w:type="dxa"/>
          </w:tcPr>
          <w:p w:rsidR="00F86E62" w:rsidRPr="00F86E62" w:rsidRDefault="00F86E62" w:rsidP="004D44D5">
            <w:pPr>
              <w:pStyle w:val="TableText"/>
            </w:pPr>
            <w:r w:rsidRPr="00F86E62">
              <w:t>45</w:t>
            </w:r>
          </w:p>
        </w:tc>
      </w:tr>
      <w:tr w:rsidR="00F86E62" w:rsidRPr="00F86E62" w:rsidTr="00F86E62">
        <w:trPr>
          <w:cantSplit/>
        </w:trPr>
        <w:tc>
          <w:tcPr>
            <w:tcW w:w="6595" w:type="dxa"/>
          </w:tcPr>
          <w:p w:rsidR="00F86E62" w:rsidRPr="00F86E62" w:rsidRDefault="00F86E62" w:rsidP="004D44D5">
            <w:pPr>
              <w:pStyle w:val="TableText"/>
            </w:pPr>
            <w:r w:rsidRPr="00F86E62">
              <w:t>Assessment of effectiveness of assets management</w:t>
            </w:r>
          </w:p>
        </w:tc>
        <w:tc>
          <w:tcPr>
            <w:tcW w:w="1353" w:type="dxa"/>
          </w:tcPr>
          <w:p w:rsidR="00F86E62" w:rsidRPr="00F86E62" w:rsidRDefault="00F86E62" w:rsidP="004D44D5">
            <w:pPr>
              <w:pStyle w:val="TableText"/>
            </w:pPr>
            <w:r w:rsidRPr="00F86E62">
              <w:t>51</w:t>
            </w:r>
          </w:p>
        </w:tc>
      </w:tr>
      <w:tr w:rsidR="00F86E62" w:rsidRPr="00F86E62" w:rsidTr="00F86E62">
        <w:trPr>
          <w:cantSplit/>
        </w:trPr>
        <w:tc>
          <w:tcPr>
            <w:tcW w:w="6595" w:type="dxa"/>
          </w:tcPr>
          <w:p w:rsidR="00F86E62" w:rsidRPr="00F86E62" w:rsidRDefault="00F86E62" w:rsidP="004D44D5">
            <w:pPr>
              <w:pStyle w:val="TableText"/>
            </w:pPr>
            <w:r w:rsidRPr="00F86E62">
              <w:t>The annual report must include a summary statement detailing the number of new consultancy services contracts let during the year; the total actual expenditure on all new consultancy contracts let during the year (inclusive of GST); the number of ongoing consultancy contracts that were active in the reporting year; and the total actual expenditure in the reporting year on the ongoing consultancy contracts (inclusive of GST). The annual report must include a statement noting that information on contracts and consultancies is available through the AusTender website.</w:t>
            </w:r>
          </w:p>
        </w:tc>
        <w:tc>
          <w:tcPr>
            <w:tcW w:w="1353" w:type="dxa"/>
          </w:tcPr>
          <w:p w:rsidR="00F86E62" w:rsidRPr="00F86E62" w:rsidRDefault="00F86E62" w:rsidP="004D44D5">
            <w:pPr>
              <w:pStyle w:val="TableText"/>
            </w:pPr>
            <w:r w:rsidRPr="00F86E62">
              <w:t>53</w:t>
            </w:r>
          </w:p>
        </w:tc>
      </w:tr>
      <w:tr w:rsidR="00F86E62" w:rsidRPr="00F86E62" w:rsidTr="00F86E62">
        <w:trPr>
          <w:cantSplit/>
        </w:trPr>
        <w:tc>
          <w:tcPr>
            <w:tcW w:w="6595" w:type="dxa"/>
          </w:tcPr>
          <w:p w:rsidR="00F86E62" w:rsidRPr="00F86E62" w:rsidRDefault="00F86E62" w:rsidP="004D44D5">
            <w:pPr>
              <w:pStyle w:val="TableText"/>
            </w:pPr>
            <w:r w:rsidRPr="00F86E62">
              <w:lastRenderedPageBreak/>
              <w:t>Absence of provisions in contracts allowing access by the Auditor-General</w:t>
            </w:r>
          </w:p>
        </w:tc>
        <w:tc>
          <w:tcPr>
            <w:tcW w:w="1353" w:type="dxa"/>
          </w:tcPr>
          <w:p w:rsidR="00F86E62" w:rsidRPr="00F86E62" w:rsidRDefault="00F86E62" w:rsidP="004D44D5">
            <w:pPr>
              <w:pStyle w:val="TableText"/>
            </w:pPr>
            <w:r w:rsidRPr="00F86E62">
              <w:t>N/A</w:t>
            </w:r>
          </w:p>
        </w:tc>
      </w:tr>
      <w:tr w:rsidR="00F86E62" w:rsidRPr="00F86E62" w:rsidTr="00F86E62">
        <w:trPr>
          <w:cantSplit/>
        </w:trPr>
        <w:tc>
          <w:tcPr>
            <w:tcW w:w="6595" w:type="dxa"/>
          </w:tcPr>
          <w:p w:rsidR="00F86E62" w:rsidRPr="00F86E62" w:rsidRDefault="00F86E62" w:rsidP="004D44D5">
            <w:pPr>
              <w:pStyle w:val="TableText"/>
            </w:pPr>
            <w:r w:rsidRPr="00F86E62">
              <w:t>Contracts exempt from the AusTender</w:t>
            </w:r>
          </w:p>
        </w:tc>
        <w:tc>
          <w:tcPr>
            <w:tcW w:w="1353" w:type="dxa"/>
          </w:tcPr>
          <w:p w:rsidR="00F86E62" w:rsidRPr="00F86E62" w:rsidRDefault="00F86E62" w:rsidP="004D44D5">
            <w:pPr>
              <w:pStyle w:val="TableText"/>
            </w:pPr>
            <w:r w:rsidRPr="00F86E62">
              <w:t>N/A</w:t>
            </w:r>
          </w:p>
        </w:tc>
      </w:tr>
      <w:tr w:rsidR="00F86E62" w:rsidRPr="00F86E62" w:rsidTr="00F86E62">
        <w:trPr>
          <w:cantSplit/>
        </w:trPr>
        <w:tc>
          <w:tcPr>
            <w:tcW w:w="6595" w:type="dxa"/>
          </w:tcPr>
          <w:p w:rsidR="00F86E62" w:rsidRPr="00F86E62" w:rsidRDefault="00F86E62" w:rsidP="004D44D5">
            <w:pPr>
              <w:pStyle w:val="TableText"/>
            </w:pPr>
            <w:r w:rsidRPr="00F86E62">
              <w:t>Report on performance in implementing the Commonwealth Disability Strategy</w:t>
            </w:r>
          </w:p>
        </w:tc>
        <w:tc>
          <w:tcPr>
            <w:tcW w:w="1353" w:type="dxa"/>
          </w:tcPr>
          <w:p w:rsidR="00F86E62" w:rsidRPr="00F86E62" w:rsidRDefault="00F86E62" w:rsidP="004D44D5">
            <w:pPr>
              <w:pStyle w:val="TableText"/>
            </w:pPr>
            <w:r w:rsidRPr="00F86E62">
              <w:t>52</w:t>
            </w:r>
          </w:p>
        </w:tc>
      </w:tr>
      <w:tr w:rsidR="00F86E62" w:rsidRPr="00F86E62" w:rsidTr="00F86E62">
        <w:trPr>
          <w:cantSplit/>
        </w:trPr>
        <w:tc>
          <w:tcPr>
            <w:tcW w:w="6595" w:type="dxa"/>
          </w:tcPr>
          <w:p w:rsidR="00F86E62" w:rsidRPr="00F86E62" w:rsidRDefault="00F86E62" w:rsidP="004D44D5">
            <w:pPr>
              <w:pStyle w:val="TableText"/>
            </w:pPr>
            <w:r w:rsidRPr="00F86E62">
              <w:t>Financial Statements</w:t>
            </w:r>
          </w:p>
        </w:tc>
        <w:tc>
          <w:tcPr>
            <w:tcW w:w="1353" w:type="dxa"/>
          </w:tcPr>
          <w:p w:rsidR="00F86E62" w:rsidRPr="00F86E62" w:rsidRDefault="00F86E62" w:rsidP="004D44D5">
            <w:pPr>
              <w:pStyle w:val="TableText"/>
            </w:pPr>
            <w:r w:rsidRPr="00F86E62">
              <w:t>52-53</w:t>
            </w:r>
          </w:p>
        </w:tc>
      </w:tr>
      <w:tr w:rsidR="00F86E62" w:rsidRPr="00F86E62" w:rsidTr="00F86E62">
        <w:trPr>
          <w:cantSplit/>
        </w:trPr>
        <w:tc>
          <w:tcPr>
            <w:tcW w:w="6595" w:type="dxa"/>
          </w:tcPr>
          <w:p w:rsidR="00F86E62" w:rsidRPr="00F86E62" w:rsidRDefault="00F86E62" w:rsidP="004D44D5">
            <w:pPr>
              <w:pStyle w:val="TableText"/>
            </w:pPr>
            <w:r w:rsidRPr="00F86E62">
              <w:t>Work health and safety (schedule 2, part 4 of the Work Health and Safety Act 2011)</w:t>
            </w:r>
          </w:p>
        </w:tc>
        <w:tc>
          <w:tcPr>
            <w:tcW w:w="1353" w:type="dxa"/>
          </w:tcPr>
          <w:p w:rsidR="00F86E62" w:rsidRPr="00F86E62" w:rsidRDefault="00F86E62" w:rsidP="004D44D5">
            <w:pPr>
              <w:pStyle w:val="TableText"/>
            </w:pPr>
            <w:r w:rsidRPr="00F86E62">
              <w:t>52</w:t>
            </w:r>
          </w:p>
        </w:tc>
      </w:tr>
      <w:tr w:rsidR="00F86E62" w:rsidRPr="00F86E62" w:rsidTr="00F86E62">
        <w:trPr>
          <w:cantSplit/>
        </w:trPr>
        <w:tc>
          <w:tcPr>
            <w:tcW w:w="6595" w:type="dxa"/>
          </w:tcPr>
          <w:p w:rsidR="00F86E62" w:rsidRPr="00F86E62" w:rsidRDefault="00F86E62" w:rsidP="004D44D5">
            <w:pPr>
              <w:pStyle w:val="TableText"/>
            </w:pPr>
            <w:r w:rsidRPr="00F86E62">
              <w:t>Advertising and Market Research (Section 311A of the Commonwealth Electoral Act 1918) and statement on advertising campaigns</w:t>
            </w:r>
          </w:p>
        </w:tc>
        <w:tc>
          <w:tcPr>
            <w:tcW w:w="1353" w:type="dxa"/>
          </w:tcPr>
          <w:p w:rsidR="00F86E62" w:rsidRPr="00F86E62" w:rsidRDefault="00F86E62" w:rsidP="004D44D5">
            <w:pPr>
              <w:pStyle w:val="TableText"/>
            </w:pPr>
            <w:r w:rsidRPr="00F86E62">
              <w:t>N/A</w:t>
            </w:r>
          </w:p>
        </w:tc>
      </w:tr>
      <w:tr w:rsidR="00F86E62" w:rsidRPr="00F86E62" w:rsidTr="00F86E62">
        <w:trPr>
          <w:cantSplit/>
        </w:trPr>
        <w:tc>
          <w:tcPr>
            <w:tcW w:w="6595" w:type="dxa"/>
          </w:tcPr>
          <w:p w:rsidR="00F86E62" w:rsidRPr="00F86E62" w:rsidRDefault="00F86E62" w:rsidP="004D44D5">
            <w:pPr>
              <w:pStyle w:val="TableText"/>
            </w:pPr>
            <w:r w:rsidRPr="00F86E62">
              <w:t>Ecologically sustainable development and environmental performance (section 516A of the Environment Protection and Biodiversity Conservation Act 1999)</w:t>
            </w:r>
          </w:p>
        </w:tc>
        <w:tc>
          <w:tcPr>
            <w:tcW w:w="1353" w:type="dxa"/>
          </w:tcPr>
          <w:p w:rsidR="00F86E62" w:rsidRPr="00F86E62" w:rsidRDefault="00F86E62" w:rsidP="004D44D5">
            <w:pPr>
              <w:pStyle w:val="TableText"/>
            </w:pPr>
            <w:r w:rsidRPr="00F86E62">
              <w:t>50</w:t>
            </w:r>
          </w:p>
        </w:tc>
      </w:tr>
      <w:tr w:rsidR="00F86E62" w:rsidRPr="00F86E62" w:rsidTr="00F86E62">
        <w:trPr>
          <w:cantSplit/>
        </w:trPr>
        <w:tc>
          <w:tcPr>
            <w:tcW w:w="6595" w:type="dxa"/>
          </w:tcPr>
          <w:p w:rsidR="00F86E62" w:rsidRPr="00F86E62" w:rsidRDefault="00F86E62" w:rsidP="004D44D5">
            <w:pPr>
              <w:pStyle w:val="TableText"/>
            </w:pPr>
            <w:r w:rsidRPr="00F86E62">
              <w:t>Compliance with the agency’s obligations under the Carer Recognition Act 2010</w:t>
            </w:r>
          </w:p>
        </w:tc>
        <w:tc>
          <w:tcPr>
            <w:tcW w:w="1353" w:type="dxa"/>
          </w:tcPr>
          <w:p w:rsidR="00F86E62" w:rsidRPr="00F86E62" w:rsidRDefault="00F86E62" w:rsidP="004D44D5">
            <w:pPr>
              <w:pStyle w:val="TableText"/>
            </w:pPr>
            <w:r w:rsidRPr="00F86E62">
              <w:t>N/A</w:t>
            </w:r>
          </w:p>
        </w:tc>
      </w:tr>
      <w:tr w:rsidR="00F86E62" w:rsidRPr="00F86E62" w:rsidTr="00F86E62">
        <w:trPr>
          <w:cantSplit/>
        </w:trPr>
        <w:tc>
          <w:tcPr>
            <w:tcW w:w="6595" w:type="dxa"/>
          </w:tcPr>
          <w:p w:rsidR="00F86E62" w:rsidRPr="00F86E62" w:rsidRDefault="00F86E62" w:rsidP="004D44D5">
            <w:pPr>
              <w:pStyle w:val="TableText"/>
            </w:pPr>
            <w:r w:rsidRPr="00F86E62">
              <w:t>Grant programs</w:t>
            </w:r>
          </w:p>
        </w:tc>
        <w:tc>
          <w:tcPr>
            <w:tcW w:w="1353" w:type="dxa"/>
          </w:tcPr>
          <w:p w:rsidR="00F86E62" w:rsidRPr="00F86E62" w:rsidRDefault="00F86E62" w:rsidP="004D44D5">
            <w:pPr>
              <w:pStyle w:val="TableText"/>
            </w:pPr>
            <w:r w:rsidRPr="00F86E62">
              <w:t>N/A</w:t>
            </w:r>
          </w:p>
        </w:tc>
      </w:tr>
      <w:tr w:rsidR="00F86E62" w:rsidRPr="00F86E62" w:rsidTr="00F86E62">
        <w:trPr>
          <w:cantSplit/>
        </w:trPr>
        <w:tc>
          <w:tcPr>
            <w:tcW w:w="6595" w:type="dxa"/>
          </w:tcPr>
          <w:p w:rsidR="00F86E62" w:rsidRPr="00F86E62" w:rsidRDefault="00F86E62" w:rsidP="004D44D5">
            <w:pPr>
              <w:pStyle w:val="TableText"/>
            </w:pPr>
            <w:r w:rsidRPr="00F86E62">
              <w:t>Disability reporting – explicit and transparent reference to agency level information available through other reporting mechanisms</w:t>
            </w:r>
          </w:p>
        </w:tc>
        <w:tc>
          <w:tcPr>
            <w:tcW w:w="1353" w:type="dxa"/>
          </w:tcPr>
          <w:p w:rsidR="00F86E62" w:rsidRPr="00F86E62" w:rsidRDefault="00F86E62" w:rsidP="004D44D5">
            <w:pPr>
              <w:pStyle w:val="TableText"/>
            </w:pPr>
            <w:r w:rsidRPr="00F86E62">
              <w:t>52</w:t>
            </w:r>
          </w:p>
        </w:tc>
      </w:tr>
      <w:tr w:rsidR="00F86E62" w:rsidRPr="00F86E62" w:rsidTr="00F86E62">
        <w:trPr>
          <w:cantSplit/>
        </w:trPr>
        <w:tc>
          <w:tcPr>
            <w:tcW w:w="6595" w:type="dxa"/>
          </w:tcPr>
          <w:p w:rsidR="00F86E62" w:rsidRPr="00F86E62" w:rsidRDefault="00F86E62" w:rsidP="004D44D5">
            <w:pPr>
              <w:pStyle w:val="TableText"/>
            </w:pPr>
            <w:r w:rsidRPr="00F86E62">
              <w:t>Information Publication Scheme Statement</w:t>
            </w:r>
          </w:p>
        </w:tc>
        <w:tc>
          <w:tcPr>
            <w:tcW w:w="1353" w:type="dxa"/>
          </w:tcPr>
          <w:p w:rsidR="00F86E62" w:rsidRPr="00F86E62" w:rsidRDefault="00F86E62" w:rsidP="004D44D5">
            <w:pPr>
              <w:pStyle w:val="TableText"/>
            </w:pPr>
            <w:r w:rsidRPr="00F86E62">
              <w:t>69</w:t>
            </w:r>
          </w:p>
        </w:tc>
      </w:tr>
      <w:tr w:rsidR="00F86E62" w:rsidRPr="00F86E62" w:rsidTr="00F86E62">
        <w:trPr>
          <w:cantSplit/>
        </w:trPr>
        <w:tc>
          <w:tcPr>
            <w:tcW w:w="6595" w:type="dxa"/>
          </w:tcPr>
          <w:p w:rsidR="00F86E62" w:rsidRPr="00F86E62" w:rsidRDefault="00F86E62" w:rsidP="004D44D5">
            <w:pPr>
              <w:pStyle w:val="TableText"/>
            </w:pPr>
            <w:r w:rsidRPr="00F86E62">
              <w:t>Correction of material errors in previous annual report</w:t>
            </w:r>
          </w:p>
        </w:tc>
        <w:tc>
          <w:tcPr>
            <w:tcW w:w="1353" w:type="dxa"/>
          </w:tcPr>
          <w:p w:rsidR="00F86E62" w:rsidRPr="004D44D5" w:rsidRDefault="00F86E62" w:rsidP="004D44D5">
            <w:pPr>
              <w:pStyle w:val="TableText"/>
            </w:pPr>
            <w:r w:rsidRPr="00F86E62">
              <w:t>N/A</w:t>
            </w:r>
          </w:p>
        </w:tc>
      </w:tr>
    </w:tbl>
    <w:p w:rsidR="00F86E62" w:rsidRDefault="00F86E62" w:rsidP="00F86E62"/>
    <w:p w:rsidR="00F86E62" w:rsidRDefault="004D44D5" w:rsidP="004D44D5">
      <w:pPr>
        <w:pStyle w:val="Heading1"/>
        <w:pageBreakBefore/>
      </w:pPr>
      <w:bookmarkStart w:id="40" w:name="_Toc532322375"/>
      <w:r>
        <w:lastRenderedPageBreak/>
        <w:t>Appendix 7</w:t>
      </w:r>
      <w:bookmarkEnd w:id="40"/>
    </w:p>
    <w:p w:rsidR="004D44D5" w:rsidRDefault="004D44D5" w:rsidP="004D44D5">
      <w:pPr>
        <w:pStyle w:val="Heading3"/>
      </w:pPr>
      <w:r>
        <w:t>Glossary</w:t>
      </w:r>
    </w:p>
    <w:tbl>
      <w:tblPr>
        <w:tblStyle w:val="TableGrid"/>
        <w:tblW w:w="5000" w:type="pct"/>
        <w:tblBorders>
          <w:top w:val="single" w:sz="4" w:space="0" w:color="A39892"/>
          <w:left w:val="none" w:sz="0" w:space="0" w:color="auto"/>
          <w:bottom w:val="single" w:sz="4" w:space="0" w:color="A39892"/>
          <w:right w:val="none" w:sz="0" w:space="0" w:color="auto"/>
          <w:insideH w:val="single" w:sz="4" w:space="0" w:color="A39892"/>
          <w:insideV w:val="none" w:sz="0" w:space="0" w:color="auto"/>
        </w:tblBorders>
        <w:tblLayout w:type="fixed"/>
        <w:tblCellMar>
          <w:left w:w="115" w:type="dxa"/>
          <w:right w:w="115" w:type="dxa"/>
        </w:tblCellMar>
        <w:tblLook w:val="04A0" w:firstRow="1" w:lastRow="0" w:firstColumn="1" w:lastColumn="0" w:noHBand="0" w:noVBand="1"/>
      </w:tblPr>
      <w:tblGrid>
        <w:gridCol w:w="2455"/>
        <w:gridCol w:w="5493"/>
      </w:tblGrid>
      <w:tr w:rsidR="004D44D5" w:rsidRPr="004D44D5" w:rsidTr="004D44D5">
        <w:trPr>
          <w:cantSplit/>
        </w:trPr>
        <w:tc>
          <w:tcPr>
            <w:tcW w:w="2455" w:type="dxa"/>
          </w:tcPr>
          <w:p w:rsidR="004D44D5" w:rsidRPr="004D44D5" w:rsidRDefault="004D44D5" w:rsidP="004D44D5">
            <w:pPr>
              <w:spacing w:before="120" w:after="120"/>
            </w:pPr>
            <w:r w:rsidRPr="004D44D5">
              <w:t>AAT</w:t>
            </w:r>
          </w:p>
        </w:tc>
        <w:tc>
          <w:tcPr>
            <w:tcW w:w="5493" w:type="dxa"/>
          </w:tcPr>
          <w:p w:rsidR="004D44D5" w:rsidRPr="004D44D5" w:rsidRDefault="004D44D5" w:rsidP="004D44D5">
            <w:pPr>
              <w:spacing w:before="120" w:after="120"/>
            </w:pPr>
            <w:r w:rsidRPr="004D44D5">
              <w:t>Administrative Appeals Tribunal.</w:t>
            </w:r>
          </w:p>
        </w:tc>
      </w:tr>
      <w:tr w:rsidR="004D44D5" w:rsidRPr="004D44D5" w:rsidTr="004D44D5">
        <w:trPr>
          <w:cantSplit/>
        </w:trPr>
        <w:tc>
          <w:tcPr>
            <w:tcW w:w="2455" w:type="dxa"/>
          </w:tcPr>
          <w:p w:rsidR="004D44D5" w:rsidRPr="004D44D5" w:rsidRDefault="004D44D5" w:rsidP="004D44D5">
            <w:pPr>
              <w:spacing w:before="120" w:after="120"/>
            </w:pPr>
            <w:r w:rsidRPr="004D44D5">
              <w:t>ADF</w:t>
            </w:r>
          </w:p>
        </w:tc>
        <w:tc>
          <w:tcPr>
            <w:tcW w:w="5493" w:type="dxa"/>
          </w:tcPr>
          <w:p w:rsidR="004D44D5" w:rsidRPr="004D44D5" w:rsidRDefault="004D44D5" w:rsidP="004D44D5">
            <w:pPr>
              <w:spacing w:before="120" w:after="120"/>
            </w:pPr>
            <w:r w:rsidRPr="004D44D5">
              <w:t>Australian Defence Force.</w:t>
            </w:r>
          </w:p>
        </w:tc>
      </w:tr>
      <w:tr w:rsidR="004D44D5" w:rsidRPr="004D44D5" w:rsidTr="004D44D5">
        <w:trPr>
          <w:cantSplit/>
        </w:trPr>
        <w:tc>
          <w:tcPr>
            <w:tcW w:w="2455" w:type="dxa"/>
          </w:tcPr>
          <w:p w:rsidR="004D44D5" w:rsidRPr="004D44D5" w:rsidRDefault="004D44D5" w:rsidP="004D44D5">
            <w:pPr>
              <w:spacing w:before="120" w:after="120"/>
            </w:pPr>
            <w:r w:rsidRPr="004D44D5">
              <w:t>ADR</w:t>
            </w:r>
          </w:p>
        </w:tc>
        <w:tc>
          <w:tcPr>
            <w:tcW w:w="5493" w:type="dxa"/>
          </w:tcPr>
          <w:p w:rsidR="004D44D5" w:rsidRPr="004D44D5" w:rsidRDefault="004D44D5" w:rsidP="004D44D5">
            <w:pPr>
              <w:spacing w:before="120" w:after="120"/>
            </w:pPr>
            <w:r w:rsidRPr="004D44D5">
              <w:t>Alternative Dispute Resolution</w:t>
            </w:r>
          </w:p>
        </w:tc>
      </w:tr>
      <w:tr w:rsidR="004D44D5" w:rsidRPr="004D44D5" w:rsidTr="004D44D5">
        <w:trPr>
          <w:cantSplit/>
        </w:trPr>
        <w:tc>
          <w:tcPr>
            <w:tcW w:w="2455" w:type="dxa"/>
          </w:tcPr>
          <w:p w:rsidR="004D44D5" w:rsidRPr="004D44D5" w:rsidRDefault="004D44D5" w:rsidP="004D44D5">
            <w:pPr>
              <w:spacing w:before="120" w:after="120"/>
            </w:pPr>
            <w:r w:rsidRPr="004D44D5">
              <w:t>ADR processes</w:t>
            </w:r>
          </w:p>
        </w:tc>
        <w:tc>
          <w:tcPr>
            <w:tcW w:w="5493" w:type="dxa"/>
          </w:tcPr>
          <w:p w:rsidR="004D44D5" w:rsidRPr="004D44D5" w:rsidRDefault="004D44D5" w:rsidP="004D44D5">
            <w:pPr>
              <w:spacing w:before="120" w:after="120"/>
            </w:pPr>
            <w:r w:rsidRPr="004D44D5">
              <w:t>Procedures</w:t>
            </w:r>
            <w:r w:rsidR="001D1DCA">
              <w:fldChar w:fldCharType="begin"/>
            </w:r>
            <w:r w:rsidR="001D1DCA">
              <w:instrText xml:space="preserve"> XE "p</w:instrText>
            </w:r>
            <w:r w:rsidR="001D1DCA" w:rsidRPr="002D7689">
              <w:instrText>rocedures</w:instrText>
            </w:r>
            <w:r w:rsidR="001D1DCA">
              <w:instrText xml:space="preserve">" </w:instrText>
            </w:r>
            <w:r w:rsidR="001D1DCA">
              <w:fldChar w:fldCharType="end"/>
            </w:r>
            <w:r w:rsidRPr="004D44D5">
              <w:t xml:space="preserve"> and services for the resolution of disputes, which includes outreach, conferencing, , neutral evaluation and case appraisal.</w:t>
            </w:r>
          </w:p>
        </w:tc>
      </w:tr>
      <w:tr w:rsidR="004D44D5" w:rsidRPr="004D44D5" w:rsidTr="004D44D5">
        <w:trPr>
          <w:cantSplit/>
        </w:trPr>
        <w:tc>
          <w:tcPr>
            <w:tcW w:w="2455" w:type="dxa"/>
          </w:tcPr>
          <w:p w:rsidR="004D44D5" w:rsidRPr="004D44D5" w:rsidRDefault="004D44D5" w:rsidP="004D44D5">
            <w:pPr>
              <w:spacing w:before="120" w:after="120"/>
            </w:pPr>
            <w:r w:rsidRPr="004D44D5">
              <w:t>AD(JR) Act</w:t>
            </w:r>
          </w:p>
        </w:tc>
        <w:tc>
          <w:tcPr>
            <w:tcW w:w="5493" w:type="dxa"/>
          </w:tcPr>
          <w:p w:rsidR="004D44D5" w:rsidRPr="004D44D5" w:rsidRDefault="004D44D5" w:rsidP="004D44D5">
            <w:pPr>
              <w:spacing w:before="120" w:after="120"/>
              <w:rPr>
                <w:i/>
              </w:rPr>
            </w:pPr>
            <w:r w:rsidRPr="004D44D5">
              <w:rPr>
                <w:i/>
              </w:rPr>
              <w:t>Administrative Decisions (Judicial Review) Act 1977</w:t>
            </w:r>
          </w:p>
        </w:tc>
      </w:tr>
      <w:tr w:rsidR="004D44D5" w:rsidRPr="004D44D5" w:rsidTr="004D44D5">
        <w:trPr>
          <w:cantSplit/>
        </w:trPr>
        <w:tc>
          <w:tcPr>
            <w:tcW w:w="2455" w:type="dxa"/>
          </w:tcPr>
          <w:p w:rsidR="004D44D5" w:rsidRPr="004D44D5" w:rsidRDefault="004D44D5" w:rsidP="004D44D5">
            <w:pPr>
              <w:spacing w:before="120" w:after="120"/>
            </w:pPr>
            <w:r w:rsidRPr="004D44D5">
              <w:t>Adjournment</w:t>
            </w:r>
          </w:p>
        </w:tc>
        <w:tc>
          <w:tcPr>
            <w:tcW w:w="5493" w:type="dxa"/>
          </w:tcPr>
          <w:p w:rsidR="004D44D5" w:rsidRPr="004D44D5" w:rsidRDefault="004D44D5" w:rsidP="004D44D5">
            <w:pPr>
              <w:spacing w:before="120" w:after="120"/>
            </w:pPr>
            <w:r w:rsidRPr="004D44D5">
              <w:t>Suspension of a hearing.</w:t>
            </w:r>
          </w:p>
        </w:tc>
      </w:tr>
      <w:tr w:rsidR="004D44D5" w:rsidRPr="004D44D5" w:rsidTr="004D44D5">
        <w:trPr>
          <w:cantSplit/>
        </w:trPr>
        <w:tc>
          <w:tcPr>
            <w:tcW w:w="2455" w:type="dxa"/>
          </w:tcPr>
          <w:p w:rsidR="004D44D5" w:rsidRPr="004D44D5" w:rsidRDefault="004D44D5" w:rsidP="004D44D5">
            <w:pPr>
              <w:spacing w:before="120" w:after="120"/>
            </w:pPr>
            <w:r w:rsidRPr="004D44D5">
              <w:t>Applicant</w:t>
            </w:r>
          </w:p>
        </w:tc>
        <w:tc>
          <w:tcPr>
            <w:tcW w:w="5493" w:type="dxa"/>
          </w:tcPr>
          <w:p w:rsidR="004D44D5" w:rsidRPr="004D44D5" w:rsidRDefault="004D44D5" w:rsidP="004D44D5">
            <w:pPr>
              <w:spacing w:before="120" w:after="120"/>
            </w:pPr>
            <w:r w:rsidRPr="004D44D5">
              <w:t>A person or body that has applied for a review (to the VRB or AAT), or applied for an allowance or increase in pension (to DVA).</w:t>
            </w:r>
          </w:p>
        </w:tc>
      </w:tr>
      <w:tr w:rsidR="004D44D5" w:rsidRPr="004D44D5" w:rsidTr="004D44D5">
        <w:trPr>
          <w:cantSplit/>
        </w:trPr>
        <w:tc>
          <w:tcPr>
            <w:tcW w:w="2455" w:type="dxa"/>
          </w:tcPr>
          <w:p w:rsidR="004D44D5" w:rsidRPr="004D44D5" w:rsidRDefault="004D44D5" w:rsidP="004D44D5">
            <w:pPr>
              <w:spacing w:before="120" w:after="120"/>
            </w:pPr>
            <w:r w:rsidRPr="004D44D5">
              <w:t>Applied provisions</w:t>
            </w:r>
          </w:p>
        </w:tc>
        <w:tc>
          <w:tcPr>
            <w:tcW w:w="5493" w:type="dxa"/>
          </w:tcPr>
          <w:p w:rsidR="004D44D5" w:rsidRPr="004D44D5" w:rsidRDefault="004D44D5" w:rsidP="004D44D5">
            <w:pPr>
              <w:spacing w:before="120" w:after="120"/>
            </w:pPr>
            <w:r w:rsidRPr="004D44D5">
              <w:t>Provisions of the VEA that set out the VRB’s powers</w:t>
            </w:r>
            <w:r w:rsidR="001D1DCA">
              <w:fldChar w:fldCharType="begin"/>
            </w:r>
            <w:r w:rsidR="001D1DCA">
              <w:instrText xml:space="preserve"> XE "</w:instrText>
            </w:r>
            <w:r w:rsidR="001D1DCA" w:rsidRPr="003924C2">
              <w:instrText>powers</w:instrText>
            </w:r>
            <w:r w:rsidR="001D1DCA">
              <w:instrText xml:space="preserve">" </w:instrText>
            </w:r>
            <w:r w:rsidR="001D1DCA">
              <w:fldChar w:fldCharType="end"/>
            </w:r>
            <w:r w:rsidRPr="004D44D5">
              <w:t xml:space="preserve"> and functions, which are applied by s353 of the MRCA for the purpose of the VRB’s review of an original determination under Part 4 of Chapter 8 of the MRCA.</w:t>
            </w:r>
          </w:p>
        </w:tc>
      </w:tr>
      <w:tr w:rsidR="004D44D5" w:rsidRPr="004D44D5" w:rsidTr="004D44D5">
        <w:trPr>
          <w:cantSplit/>
        </w:trPr>
        <w:tc>
          <w:tcPr>
            <w:tcW w:w="2455" w:type="dxa"/>
          </w:tcPr>
          <w:p w:rsidR="004D44D5" w:rsidRPr="004D44D5" w:rsidRDefault="004D44D5" w:rsidP="004D44D5">
            <w:pPr>
              <w:spacing w:before="120" w:after="120"/>
            </w:pPr>
            <w:r w:rsidRPr="004D44D5">
              <w:t>Assessment matter</w:t>
            </w:r>
          </w:p>
        </w:tc>
        <w:tc>
          <w:tcPr>
            <w:tcW w:w="5493" w:type="dxa"/>
          </w:tcPr>
          <w:p w:rsidR="004D44D5" w:rsidRPr="004D44D5" w:rsidRDefault="004D44D5" w:rsidP="004D44D5">
            <w:pPr>
              <w:spacing w:before="120" w:after="120"/>
            </w:pPr>
            <w:r w:rsidRPr="004D44D5">
              <w:t>A case under the VEA concerning the assessment of the rate of disability pension.</w:t>
            </w:r>
          </w:p>
        </w:tc>
      </w:tr>
      <w:tr w:rsidR="004D44D5" w:rsidRPr="004D44D5" w:rsidTr="004D44D5">
        <w:trPr>
          <w:cantSplit/>
        </w:trPr>
        <w:tc>
          <w:tcPr>
            <w:tcW w:w="2455" w:type="dxa"/>
          </w:tcPr>
          <w:p w:rsidR="004D44D5" w:rsidRPr="004D44D5" w:rsidRDefault="004D44D5" w:rsidP="004D44D5">
            <w:pPr>
              <w:spacing w:before="120" w:after="120"/>
            </w:pPr>
            <w:r w:rsidRPr="004D44D5">
              <w:t>Assessment period</w:t>
            </w:r>
          </w:p>
        </w:tc>
        <w:tc>
          <w:tcPr>
            <w:tcW w:w="5493" w:type="dxa"/>
          </w:tcPr>
          <w:p w:rsidR="004D44D5" w:rsidRPr="004D44D5" w:rsidRDefault="004D44D5" w:rsidP="004D44D5">
            <w:pPr>
              <w:spacing w:before="120" w:after="120"/>
            </w:pPr>
            <w:r w:rsidRPr="004D44D5">
              <w:t>Period over which the decision-maker must assess the rate or rates of pension that were payable. It begins on the day the claim or AFI was lodged (the ‘application day’) and ends on the day the decision-maker determines the claim or AFI, or determines the review.</w:t>
            </w:r>
          </w:p>
        </w:tc>
      </w:tr>
      <w:tr w:rsidR="004D44D5" w:rsidRPr="004D44D5" w:rsidTr="004D44D5">
        <w:trPr>
          <w:cantSplit/>
        </w:trPr>
        <w:tc>
          <w:tcPr>
            <w:tcW w:w="2455" w:type="dxa"/>
          </w:tcPr>
          <w:p w:rsidR="004D44D5" w:rsidRPr="004D44D5" w:rsidRDefault="004D44D5" w:rsidP="004D44D5">
            <w:pPr>
              <w:spacing w:before="120" w:after="120"/>
            </w:pPr>
            <w:r w:rsidRPr="004D44D5">
              <w:t>Attendant Allowance</w:t>
            </w:r>
          </w:p>
        </w:tc>
        <w:tc>
          <w:tcPr>
            <w:tcW w:w="5493" w:type="dxa"/>
          </w:tcPr>
          <w:p w:rsidR="004D44D5" w:rsidRPr="004D44D5" w:rsidRDefault="004D44D5" w:rsidP="004D44D5">
            <w:pPr>
              <w:spacing w:before="120" w:after="120"/>
            </w:pPr>
            <w:r w:rsidRPr="004D44D5">
              <w:t>A fortnightly allowance paid towards the cost of an attendant for a person needing such assistance and who has accepted disabilities involving one of a number of types of amputations or severe types of disability, or an injury or disease similar in effect or severity to a disease of the cerebro-spinal system.</w:t>
            </w:r>
          </w:p>
        </w:tc>
      </w:tr>
      <w:tr w:rsidR="004D44D5" w:rsidRPr="004D44D5" w:rsidTr="004D44D5">
        <w:trPr>
          <w:cantSplit/>
        </w:trPr>
        <w:tc>
          <w:tcPr>
            <w:tcW w:w="2455" w:type="dxa"/>
          </w:tcPr>
          <w:p w:rsidR="004D44D5" w:rsidRPr="004D44D5" w:rsidRDefault="004D44D5" w:rsidP="004D44D5">
            <w:pPr>
              <w:spacing w:before="120" w:after="120"/>
            </w:pPr>
            <w:r w:rsidRPr="004D44D5">
              <w:t>Case Manager</w:t>
            </w:r>
          </w:p>
        </w:tc>
        <w:tc>
          <w:tcPr>
            <w:tcW w:w="5493" w:type="dxa"/>
          </w:tcPr>
          <w:p w:rsidR="004D44D5" w:rsidRPr="004D44D5" w:rsidRDefault="004D44D5" w:rsidP="004D44D5">
            <w:pPr>
              <w:spacing w:before="120" w:after="120"/>
            </w:pPr>
            <w:r w:rsidRPr="004D44D5">
              <w:t>VRB staff</w:t>
            </w:r>
            <w:r w:rsidR="0005789C">
              <w:fldChar w:fldCharType="begin"/>
            </w:r>
            <w:r w:rsidR="0005789C">
              <w:instrText xml:space="preserve"> XE "</w:instrText>
            </w:r>
            <w:r w:rsidR="0005789C" w:rsidRPr="002D7689">
              <w:instrText>staff</w:instrText>
            </w:r>
            <w:r w:rsidR="0005789C">
              <w:instrText xml:space="preserve">" </w:instrText>
            </w:r>
            <w:r w:rsidR="0005789C">
              <w:fldChar w:fldCharType="end"/>
            </w:r>
            <w:r w:rsidRPr="004D44D5">
              <w:t xml:space="preserve"> member who looks after the administrative matters concerning an application for review.</w:t>
            </w:r>
          </w:p>
        </w:tc>
      </w:tr>
      <w:tr w:rsidR="004D44D5" w:rsidRPr="004D44D5" w:rsidTr="004D44D5">
        <w:trPr>
          <w:cantSplit/>
        </w:trPr>
        <w:tc>
          <w:tcPr>
            <w:tcW w:w="2455" w:type="dxa"/>
          </w:tcPr>
          <w:p w:rsidR="004D44D5" w:rsidRPr="004D44D5" w:rsidRDefault="004D44D5" w:rsidP="004D44D5">
            <w:pPr>
              <w:spacing w:before="120" w:after="120"/>
            </w:pPr>
            <w:r w:rsidRPr="004D44D5">
              <w:lastRenderedPageBreak/>
              <w:t>Case appraisal</w:t>
            </w:r>
          </w:p>
        </w:tc>
        <w:tc>
          <w:tcPr>
            <w:tcW w:w="5493" w:type="dxa"/>
          </w:tcPr>
          <w:p w:rsidR="004D44D5" w:rsidRPr="004D44D5" w:rsidRDefault="004D44D5" w:rsidP="004D44D5">
            <w:pPr>
              <w:spacing w:before="120" w:after="120"/>
            </w:pPr>
            <w:r w:rsidRPr="004D44D5">
              <w:t>The Conference Registrar can request a Case Appraisal be conducted by a VRB member as part of the ADR process. It involves a VRB member examining an application with a view to clarifying the issues, checking that the VRB has jurisdiction</w:t>
            </w:r>
            <w:r w:rsidR="00660120">
              <w:fldChar w:fldCharType="begin"/>
            </w:r>
            <w:r w:rsidR="00660120">
              <w:instrText xml:space="preserve"> XE "</w:instrText>
            </w:r>
            <w:r w:rsidR="00660120" w:rsidRPr="003924C2">
              <w:instrText>jurisdiction</w:instrText>
            </w:r>
            <w:r w:rsidR="00660120">
              <w:instrText xml:space="preserve">" </w:instrText>
            </w:r>
            <w:r w:rsidR="00660120">
              <w:fldChar w:fldCharType="end"/>
            </w:r>
            <w:r w:rsidRPr="004D44D5">
              <w:t xml:space="preserve"> and that the applicant has standing, checking sufficiency of information, and readiness for hearing and then providing a non-binding opinion. This is requested to assist the parties to finalise the application.</w:t>
            </w:r>
          </w:p>
        </w:tc>
      </w:tr>
      <w:tr w:rsidR="00F20F13" w:rsidRPr="004D44D5" w:rsidTr="004D44D5">
        <w:trPr>
          <w:cantSplit/>
        </w:trPr>
        <w:tc>
          <w:tcPr>
            <w:tcW w:w="2455" w:type="dxa"/>
          </w:tcPr>
          <w:p w:rsidR="00F20F13" w:rsidRPr="00F20F13" w:rsidRDefault="00F20F13" w:rsidP="00F20F13">
            <w:pPr>
              <w:spacing w:before="120" w:after="120"/>
            </w:pPr>
            <w:r w:rsidRPr="00F20F13">
              <w:t>Certificate of readiness for hearing</w:t>
            </w:r>
          </w:p>
        </w:tc>
        <w:tc>
          <w:tcPr>
            <w:tcW w:w="5493" w:type="dxa"/>
          </w:tcPr>
          <w:p w:rsidR="00F20F13" w:rsidRPr="00F20F13" w:rsidRDefault="00F20F13" w:rsidP="00F20F13">
            <w:pPr>
              <w:spacing w:before="120" w:after="120"/>
            </w:pPr>
            <w:r w:rsidRPr="00F20F13">
              <w:t>A notice to the VRB that all the material on which the applicant wishes to rely has been lodged and the applicant is ready to proceed to a hearing.</w:t>
            </w:r>
          </w:p>
        </w:tc>
      </w:tr>
      <w:tr w:rsidR="00F20F13" w:rsidRPr="004D44D5" w:rsidTr="004D44D5">
        <w:trPr>
          <w:cantSplit/>
        </w:trPr>
        <w:tc>
          <w:tcPr>
            <w:tcW w:w="2455" w:type="dxa"/>
          </w:tcPr>
          <w:p w:rsidR="00F20F13" w:rsidRPr="00F20F13" w:rsidRDefault="00F20F13" w:rsidP="00F20F13">
            <w:pPr>
              <w:spacing w:before="120" w:after="120"/>
            </w:pPr>
            <w:r w:rsidRPr="00F20F13">
              <w:t>Claimant</w:t>
            </w:r>
          </w:p>
        </w:tc>
        <w:tc>
          <w:tcPr>
            <w:tcW w:w="5493" w:type="dxa"/>
          </w:tcPr>
          <w:p w:rsidR="00F20F13" w:rsidRPr="00F20F13" w:rsidRDefault="00F20F13" w:rsidP="00F20F13">
            <w:pPr>
              <w:spacing w:before="120" w:after="120"/>
            </w:pPr>
            <w:r w:rsidRPr="00F20F13">
              <w:t>A person who has made a claim for a pension (to DVA) or claim for acceptance of liability</w:t>
            </w:r>
            <w:r w:rsidR="00660120">
              <w:fldChar w:fldCharType="begin"/>
            </w:r>
            <w:r w:rsidR="00660120">
              <w:instrText xml:space="preserve"> XE "</w:instrText>
            </w:r>
            <w:r w:rsidR="00660120" w:rsidRPr="003924C2">
              <w:instrText>liability</w:instrText>
            </w:r>
            <w:r w:rsidR="00660120">
              <w:instrText xml:space="preserve">" </w:instrText>
            </w:r>
            <w:r w:rsidR="00660120">
              <w:fldChar w:fldCharType="end"/>
            </w:r>
            <w:r w:rsidRPr="00F20F13">
              <w:t xml:space="preserve"> and/or compensation (to the MRCC).</w:t>
            </w:r>
          </w:p>
        </w:tc>
      </w:tr>
      <w:tr w:rsidR="00F20F13" w:rsidRPr="004D44D5" w:rsidTr="004D44D5">
        <w:trPr>
          <w:cantSplit/>
        </w:trPr>
        <w:tc>
          <w:tcPr>
            <w:tcW w:w="2455" w:type="dxa"/>
          </w:tcPr>
          <w:p w:rsidR="00F20F13" w:rsidRPr="00F20F13" w:rsidRDefault="00F20F13" w:rsidP="00F20F13">
            <w:pPr>
              <w:spacing w:before="120" w:after="120"/>
            </w:pPr>
            <w:r w:rsidRPr="00F20F13">
              <w:t>CLIK</w:t>
            </w:r>
          </w:p>
        </w:tc>
        <w:tc>
          <w:tcPr>
            <w:tcW w:w="5493" w:type="dxa"/>
          </w:tcPr>
          <w:p w:rsidR="00F20F13" w:rsidRPr="00F20F13" w:rsidRDefault="00F20F13" w:rsidP="00F20F13">
            <w:pPr>
              <w:spacing w:before="120" w:after="120"/>
            </w:pPr>
            <w:r w:rsidRPr="00F20F13">
              <w:t>Consolidated Library of Information &amp; Knowledge: a computer research tool for decision-makers and pension officers and representatives</w:t>
            </w:r>
            <w:r w:rsidR="0005789C">
              <w:fldChar w:fldCharType="begin"/>
            </w:r>
            <w:r w:rsidR="0005789C">
              <w:instrText xml:space="preserve"> XE "</w:instrText>
            </w:r>
            <w:r w:rsidR="0005789C" w:rsidRPr="002D7689">
              <w:instrText>representatives</w:instrText>
            </w:r>
            <w:r w:rsidR="0005789C">
              <w:instrText xml:space="preserve">" </w:instrText>
            </w:r>
            <w:r w:rsidR="0005789C">
              <w:fldChar w:fldCharType="end"/>
            </w:r>
            <w:r w:rsidRPr="00F20F13">
              <w:t xml:space="preserve"> produced by DVA.</w:t>
            </w:r>
          </w:p>
        </w:tc>
      </w:tr>
      <w:tr w:rsidR="00F20F13" w:rsidRPr="004D44D5" w:rsidTr="004D44D5">
        <w:trPr>
          <w:cantSplit/>
        </w:trPr>
        <w:tc>
          <w:tcPr>
            <w:tcW w:w="2455" w:type="dxa"/>
          </w:tcPr>
          <w:p w:rsidR="00F20F13" w:rsidRPr="00F20F13" w:rsidRDefault="00F20F13" w:rsidP="00F20F13">
            <w:pPr>
              <w:spacing w:before="120" w:after="120"/>
            </w:pPr>
            <w:r w:rsidRPr="00F20F13">
              <w:t>Conference</w:t>
            </w:r>
          </w:p>
        </w:tc>
        <w:tc>
          <w:tcPr>
            <w:tcW w:w="5493" w:type="dxa"/>
          </w:tcPr>
          <w:p w:rsidR="00F20F13" w:rsidRPr="00F20F13" w:rsidRDefault="00F20F13" w:rsidP="00F20F13">
            <w:pPr>
              <w:spacing w:before="120" w:after="120"/>
            </w:pPr>
            <w:r w:rsidRPr="00F20F13">
              <w:t>A meeting conducted by a VRB member or Conference Registrar with the applicant and/or their representatives as part of the ADR program. Conferences allow for discussion and clarification of issues, identification of further evidence that would assist to resolve the application, and consideration of whether the application can be settled without the need for a hearing.</w:t>
            </w:r>
          </w:p>
        </w:tc>
      </w:tr>
      <w:tr w:rsidR="00F20F13" w:rsidRPr="004D44D5" w:rsidTr="004D44D5">
        <w:trPr>
          <w:cantSplit/>
        </w:trPr>
        <w:tc>
          <w:tcPr>
            <w:tcW w:w="2455" w:type="dxa"/>
          </w:tcPr>
          <w:p w:rsidR="00F20F13" w:rsidRPr="00F20F13" w:rsidRDefault="00F20F13" w:rsidP="00F20F13">
            <w:pPr>
              <w:spacing w:before="120" w:after="120"/>
            </w:pPr>
            <w:r w:rsidRPr="00F20F13">
              <w:rPr>
                <w:i/>
              </w:rPr>
              <w:t>Deledio</w:t>
            </w:r>
          </w:p>
        </w:tc>
        <w:tc>
          <w:tcPr>
            <w:tcW w:w="5493" w:type="dxa"/>
          </w:tcPr>
          <w:p w:rsidR="00F20F13" w:rsidRPr="00F20F13" w:rsidRDefault="00F20F13" w:rsidP="00F20F13">
            <w:pPr>
              <w:spacing w:before="120" w:after="120"/>
            </w:pPr>
            <w:r w:rsidRPr="00F20F13">
              <w:rPr>
                <w:i/>
              </w:rPr>
              <w:t>Repatriation Commission v Deledio</w:t>
            </w:r>
            <w:r w:rsidRPr="00F20F13">
              <w:t xml:space="preserve"> (1998) 83 FCR 82. A Federal Court case that established a four step process by which the beyond reasonable doubt and reasonable hypothesis standard of satisfaction is to be applied in the context of cases to which the Statements of Principles</w:t>
            </w:r>
            <w:r w:rsidR="004A74AE">
              <w:fldChar w:fldCharType="begin"/>
            </w:r>
            <w:r w:rsidR="004A74AE">
              <w:instrText xml:space="preserve"> XE "</w:instrText>
            </w:r>
            <w:r w:rsidR="004A74AE" w:rsidRPr="002D7689">
              <w:instrText>Statements of Principles</w:instrText>
            </w:r>
            <w:r w:rsidR="004A74AE">
              <w:instrText xml:space="preserve">" </w:instrText>
            </w:r>
            <w:r w:rsidR="004A74AE">
              <w:fldChar w:fldCharType="end"/>
            </w:r>
            <w:r w:rsidRPr="00F20F13">
              <w:t xml:space="preserve"> regime applies.</w:t>
            </w:r>
          </w:p>
        </w:tc>
      </w:tr>
      <w:tr w:rsidR="00F20F13" w:rsidRPr="004D44D5" w:rsidTr="004D44D5">
        <w:trPr>
          <w:cantSplit/>
        </w:trPr>
        <w:tc>
          <w:tcPr>
            <w:tcW w:w="2455" w:type="dxa"/>
          </w:tcPr>
          <w:p w:rsidR="00F20F13" w:rsidRPr="00F20F13" w:rsidRDefault="00F20F13" w:rsidP="00F20F13">
            <w:pPr>
              <w:spacing w:before="120" w:after="120"/>
            </w:pPr>
            <w:r w:rsidRPr="00F20F13">
              <w:t>Directions Hearing</w:t>
            </w:r>
          </w:p>
        </w:tc>
        <w:tc>
          <w:tcPr>
            <w:tcW w:w="5493" w:type="dxa"/>
          </w:tcPr>
          <w:p w:rsidR="00F20F13" w:rsidRPr="00F20F13" w:rsidRDefault="00F20F13" w:rsidP="00F20F13">
            <w:pPr>
              <w:spacing w:before="120" w:after="120"/>
            </w:pPr>
            <w:r w:rsidRPr="00F20F13">
              <w:t>A hearing conducted by either the Principal Member</w:t>
            </w:r>
            <w:r w:rsidR="001D1DCA">
              <w:fldChar w:fldCharType="begin"/>
            </w:r>
            <w:r w:rsidR="001D1DCA">
              <w:instrText xml:space="preserve"> XE "</w:instrText>
            </w:r>
            <w:r w:rsidR="001D1DCA" w:rsidRPr="002D7689">
              <w:instrText>Principal Member</w:instrText>
            </w:r>
            <w:r w:rsidR="001D1DCA">
              <w:instrText xml:space="preserve">" </w:instrText>
            </w:r>
            <w:r w:rsidR="001D1DCA">
              <w:fldChar w:fldCharType="end"/>
            </w:r>
            <w:r w:rsidRPr="00F20F13">
              <w:t xml:space="preserve"> or a Senior Member of the VRB for the purpose of clarifying issues that are delaying the progress of an application.</w:t>
            </w:r>
          </w:p>
        </w:tc>
      </w:tr>
      <w:tr w:rsidR="00F20F13" w:rsidRPr="004D44D5" w:rsidTr="004D44D5">
        <w:trPr>
          <w:cantSplit/>
        </w:trPr>
        <w:tc>
          <w:tcPr>
            <w:tcW w:w="2455" w:type="dxa"/>
          </w:tcPr>
          <w:p w:rsidR="00F20F13" w:rsidRPr="00F20F13" w:rsidRDefault="00F20F13" w:rsidP="00F20F13">
            <w:pPr>
              <w:spacing w:before="120" w:after="120"/>
            </w:pPr>
            <w:r w:rsidRPr="00F20F13">
              <w:t>DVA</w:t>
            </w:r>
          </w:p>
        </w:tc>
        <w:tc>
          <w:tcPr>
            <w:tcW w:w="5493" w:type="dxa"/>
          </w:tcPr>
          <w:p w:rsidR="00F20F13" w:rsidRPr="00F20F13" w:rsidRDefault="00F20F13" w:rsidP="00F20F13">
            <w:pPr>
              <w:spacing w:before="120" w:after="120"/>
            </w:pPr>
            <w:r w:rsidRPr="00F20F13">
              <w:t>Department of Veterans’ Affairs.</w:t>
            </w:r>
          </w:p>
        </w:tc>
      </w:tr>
      <w:tr w:rsidR="00F20F13" w:rsidRPr="004D44D5" w:rsidTr="004D44D5">
        <w:trPr>
          <w:cantSplit/>
        </w:trPr>
        <w:tc>
          <w:tcPr>
            <w:tcW w:w="2455" w:type="dxa"/>
          </w:tcPr>
          <w:p w:rsidR="00F20F13" w:rsidRPr="00F20F13" w:rsidRDefault="00F20F13" w:rsidP="00F20F13">
            <w:pPr>
              <w:spacing w:before="120" w:after="120"/>
            </w:pPr>
            <w:r w:rsidRPr="00F20F13">
              <w:t>Entitlement matter</w:t>
            </w:r>
          </w:p>
        </w:tc>
        <w:tc>
          <w:tcPr>
            <w:tcW w:w="5493" w:type="dxa"/>
          </w:tcPr>
          <w:p w:rsidR="00F20F13" w:rsidRPr="00F20F13" w:rsidRDefault="00F20F13" w:rsidP="00F20F13">
            <w:pPr>
              <w:spacing w:before="120" w:after="120"/>
            </w:pPr>
            <w:r w:rsidRPr="00F20F13">
              <w:t>A case under the VEA concerning whether an injury, disease, or death is war- or defence-caused.</w:t>
            </w:r>
          </w:p>
        </w:tc>
      </w:tr>
      <w:tr w:rsidR="00F20F13" w:rsidRPr="004D44D5" w:rsidTr="004D44D5">
        <w:trPr>
          <w:cantSplit/>
        </w:trPr>
        <w:tc>
          <w:tcPr>
            <w:tcW w:w="2455" w:type="dxa"/>
          </w:tcPr>
          <w:p w:rsidR="00F20F13" w:rsidRPr="00F20F13" w:rsidRDefault="00F20F13" w:rsidP="00F20F13">
            <w:pPr>
              <w:spacing w:before="120" w:after="120"/>
            </w:pPr>
            <w:r w:rsidRPr="00F20F13">
              <w:t>ESO</w:t>
            </w:r>
          </w:p>
        </w:tc>
        <w:tc>
          <w:tcPr>
            <w:tcW w:w="5493" w:type="dxa"/>
          </w:tcPr>
          <w:p w:rsidR="00F20F13" w:rsidRPr="00F20F13" w:rsidRDefault="00F20F13" w:rsidP="00F20F13">
            <w:pPr>
              <w:spacing w:before="120" w:after="120"/>
            </w:pPr>
            <w:r w:rsidRPr="00F20F13">
              <w:t>Ex-service organisation.</w:t>
            </w:r>
          </w:p>
        </w:tc>
      </w:tr>
      <w:tr w:rsidR="00F20F13" w:rsidRPr="004D44D5" w:rsidTr="004D44D5">
        <w:trPr>
          <w:cantSplit/>
        </w:trPr>
        <w:tc>
          <w:tcPr>
            <w:tcW w:w="2455" w:type="dxa"/>
          </w:tcPr>
          <w:p w:rsidR="00F20F13" w:rsidRPr="00F20F13" w:rsidRDefault="00F20F13" w:rsidP="00F20F13">
            <w:pPr>
              <w:spacing w:before="120" w:after="120"/>
            </w:pPr>
            <w:r w:rsidRPr="00F20F13">
              <w:t>FOI</w:t>
            </w:r>
          </w:p>
        </w:tc>
        <w:tc>
          <w:tcPr>
            <w:tcW w:w="5493" w:type="dxa"/>
          </w:tcPr>
          <w:p w:rsidR="00F20F13" w:rsidRPr="00F20F13" w:rsidRDefault="00F20F13" w:rsidP="00F20F13">
            <w:pPr>
              <w:spacing w:before="120" w:after="120"/>
              <w:rPr>
                <w:rFonts w:ascii="HelveticaNeue-Light" w:hAnsi="HelveticaNeue-Light" w:cs="HelveticaNeue-Light"/>
              </w:rPr>
            </w:pPr>
            <w:r w:rsidRPr="00F20F13">
              <w:t xml:space="preserve">Freedom of Information: the right to obtain documents from a Commonwealth Department or agency under the </w:t>
            </w:r>
            <w:r w:rsidRPr="00F20F13">
              <w:rPr>
                <w:i/>
              </w:rPr>
              <w:t>Freedom of</w:t>
            </w:r>
            <w:r w:rsidRPr="00F20F13">
              <w:rPr>
                <w:rFonts w:ascii="HelveticaNeueLTStd-LtIt" w:hAnsi="HelveticaNeueLTStd-LtIt" w:cs="HelveticaNeueLTStd-LtIt"/>
                <w:i/>
                <w:iCs/>
              </w:rPr>
              <w:t xml:space="preserve"> </w:t>
            </w:r>
            <w:r w:rsidRPr="00F20F13">
              <w:rPr>
                <w:i/>
              </w:rPr>
              <w:t>Information Act 1982</w:t>
            </w:r>
            <w:r w:rsidRPr="00F20F13">
              <w:rPr>
                <w:rFonts w:ascii="HelveticaNeue-Light" w:hAnsi="HelveticaNeue-Light" w:cs="HelveticaNeue-Light"/>
              </w:rPr>
              <w:t>.</w:t>
            </w:r>
          </w:p>
        </w:tc>
      </w:tr>
      <w:tr w:rsidR="00F20F13" w:rsidRPr="004D44D5" w:rsidTr="004D44D5">
        <w:trPr>
          <w:cantSplit/>
        </w:trPr>
        <w:tc>
          <w:tcPr>
            <w:tcW w:w="2455" w:type="dxa"/>
          </w:tcPr>
          <w:p w:rsidR="00F20F13" w:rsidRPr="00F20F13" w:rsidRDefault="00F20F13" w:rsidP="00F20F13">
            <w:pPr>
              <w:spacing w:before="120" w:after="120"/>
            </w:pPr>
            <w:r w:rsidRPr="00F20F13">
              <w:t>Liability matter</w:t>
            </w:r>
          </w:p>
        </w:tc>
        <w:tc>
          <w:tcPr>
            <w:tcW w:w="5493" w:type="dxa"/>
          </w:tcPr>
          <w:p w:rsidR="00F20F13" w:rsidRPr="00F20F13" w:rsidRDefault="00F20F13" w:rsidP="00F20F13">
            <w:pPr>
              <w:spacing w:before="120" w:after="120"/>
            </w:pPr>
            <w:r w:rsidRPr="00F20F13">
              <w:t>A case under the MRCA concerning whether an injury, disease, or death is service-related.</w:t>
            </w:r>
          </w:p>
        </w:tc>
      </w:tr>
      <w:tr w:rsidR="00F20F13" w:rsidRPr="004D44D5" w:rsidTr="004D44D5">
        <w:trPr>
          <w:cantSplit/>
        </w:trPr>
        <w:tc>
          <w:tcPr>
            <w:tcW w:w="2455" w:type="dxa"/>
          </w:tcPr>
          <w:p w:rsidR="00F20F13" w:rsidRPr="00F20F13" w:rsidRDefault="00F20F13" w:rsidP="00F20F13">
            <w:pPr>
              <w:spacing w:before="120" w:after="120"/>
            </w:pPr>
            <w:r w:rsidRPr="00F20F13">
              <w:lastRenderedPageBreak/>
              <w:t>Member</w:t>
            </w:r>
          </w:p>
        </w:tc>
        <w:tc>
          <w:tcPr>
            <w:tcW w:w="5493" w:type="dxa"/>
          </w:tcPr>
          <w:p w:rsidR="00F20F13" w:rsidRPr="00F20F13" w:rsidRDefault="00F20F13" w:rsidP="00F20F13">
            <w:pPr>
              <w:spacing w:before="120" w:after="120"/>
            </w:pPr>
            <w:r w:rsidRPr="00F20F13">
              <w:t>A member of the VRB appointed by the Governor-General.</w:t>
            </w:r>
          </w:p>
        </w:tc>
      </w:tr>
      <w:tr w:rsidR="00F20F13" w:rsidRPr="004D44D5" w:rsidTr="004D44D5">
        <w:trPr>
          <w:cantSplit/>
        </w:trPr>
        <w:tc>
          <w:tcPr>
            <w:tcW w:w="2455" w:type="dxa"/>
          </w:tcPr>
          <w:p w:rsidR="00F20F13" w:rsidRPr="00F20F13" w:rsidRDefault="00F20F13" w:rsidP="00F20F13">
            <w:pPr>
              <w:spacing w:before="120" w:after="120"/>
            </w:pPr>
            <w:r w:rsidRPr="00F20F13">
              <w:t>MRCA</w:t>
            </w:r>
          </w:p>
        </w:tc>
        <w:tc>
          <w:tcPr>
            <w:tcW w:w="5493" w:type="dxa"/>
          </w:tcPr>
          <w:p w:rsidR="00F20F13" w:rsidRPr="00F20F13" w:rsidRDefault="00F20F13" w:rsidP="00F20F13">
            <w:pPr>
              <w:spacing w:before="120" w:after="120"/>
              <w:rPr>
                <w:rFonts w:ascii="HelveticaNeue-Light" w:hAnsi="HelveticaNeue-Light" w:cs="HelveticaNeue-Light"/>
              </w:rPr>
            </w:pPr>
            <w:r w:rsidRPr="00F20F13">
              <w:rPr>
                <w:i/>
              </w:rPr>
              <w:t>Military Rehabilitation and Compensation Act 2004</w:t>
            </w:r>
            <w:r w:rsidRPr="00F20F13">
              <w:rPr>
                <w:rFonts w:ascii="HelveticaNeue-Light" w:hAnsi="HelveticaNeue-Light" w:cs="HelveticaNeue-Light"/>
              </w:rPr>
              <w:t>.</w:t>
            </w:r>
          </w:p>
        </w:tc>
      </w:tr>
      <w:tr w:rsidR="00F20F13" w:rsidRPr="004D44D5" w:rsidTr="004D44D5">
        <w:trPr>
          <w:cantSplit/>
        </w:trPr>
        <w:tc>
          <w:tcPr>
            <w:tcW w:w="2455" w:type="dxa"/>
          </w:tcPr>
          <w:p w:rsidR="00F20F13" w:rsidRPr="00F20F13" w:rsidRDefault="00F20F13" w:rsidP="00F20F13">
            <w:pPr>
              <w:spacing w:before="120" w:after="120"/>
            </w:pPr>
            <w:r w:rsidRPr="00F20F13">
              <w:t>MRCC</w:t>
            </w:r>
          </w:p>
        </w:tc>
        <w:tc>
          <w:tcPr>
            <w:tcW w:w="5493" w:type="dxa"/>
          </w:tcPr>
          <w:p w:rsidR="00F20F13" w:rsidRPr="00F20F13" w:rsidRDefault="00F20F13" w:rsidP="00F20F13">
            <w:pPr>
              <w:spacing w:before="120" w:after="120"/>
            </w:pPr>
            <w:r w:rsidRPr="00F20F13">
              <w:t>Military Rehabilitation and Compensation Commission.</w:t>
            </w:r>
          </w:p>
        </w:tc>
      </w:tr>
      <w:tr w:rsidR="00F20F13" w:rsidRPr="004D44D5" w:rsidTr="004D44D5">
        <w:trPr>
          <w:cantSplit/>
        </w:trPr>
        <w:tc>
          <w:tcPr>
            <w:tcW w:w="2455" w:type="dxa"/>
          </w:tcPr>
          <w:p w:rsidR="00F20F13" w:rsidRPr="00F20F13" w:rsidRDefault="00F20F13" w:rsidP="00F20F13">
            <w:pPr>
              <w:spacing w:before="120" w:after="120"/>
            </w:pPr>
            <w:r w:rsidRPr="00F20F13">
              <w:t>Neutral Evaluation</w:t>
            </w:r>
          </w:p>
        </w:tc>
        <w:tc>
          <w:tcPr>
            <w:tcW w:w="5493" w:type="dxa"/>
          </w:tcPr>
          <w:p w:rsidR="00F20F13" w:rsidRPr="00F20F13" w:rsidRDefault="00F20F13" w:rsidP="00F20F13">
            <w:pPr>
              <w:spacing w:before="120" w:after="120"/>
            </w:pPr>
            <w:r w:rsidRPr="00F20F13">
              <w:t>An option under the ADR process for the applicant to request that a VRB member provides a non-binding opinion on the likely outcome of a case.</w:t>
            </w:r>
          </w:p>
        </w:tc>
      </w:tr>
      <w:tr w:rsidR="00F20F13" w:rsidRPr="004D44D5" w:rsidTr="004D44D5">
        <w:trPr>
          <w:cantSplit/>
        </w:trPr>
        <w:tc>
          <w:tcPr>
            <w:tcW w:w="2455" w:type="dxa"/>
          </w:tcPr>
          <w:p w:rsidR="00F20F13" w:rsidRPr="00F20F13" w:rsidRDefault="00F20F13" w:rsidP="00F20F13">
            <w:pPr>
              <w:spacing w:before="120" w:after="120"/>
            </w:pPr>
            <w:r w:rsidRPr="00F20F13">
              <w:t>Original determination</w:t>
            </w:r>
          </w:p>
        </w:tc>
        <w:tc>
          <w:tcPr>
            <w:tcW w:w="5493" w:type="dxa"/>
          </w:tcPr>
          <w:p w:rsidR="00F20F13" w:rsidRPr="00F20F13" w:rsidRDefault="00F20F13" w:rsidP="00F20F13">
            <w:pPr>
              <w:spacing w:before="120" w:after="120"/>
            </w:pPr>
            <w:r w:rsidRPr="00F20F13">
              <w:t>A determination of the MRCC or a service chief under the MRCA that is capable of being reviewed by the VRB or being reconsidered by another delegate of the MRCC or a service chief.</w:t>
            </w:r>
          </w:p>
        </w:tc>
      </w:tr>
      <w:tr w:rsidR="007A48CA" w:rsidRPr="004D44D5" w:rsidTr="004D44D5">
        <w:trPr>
          <w:cantSplit/>
        </w:trPr>
        <w:tc>
          <w:tcPr>
            <w:tcW w:w="2455" w:type="dxa"/>
          </w:tcPr>
          <w:p w:rsidR="007A48CA" w:rsidRPr="007A48CA" w:rsidRDefault="007A48CA" w:rsidP="007A48CA">
            <w:pPr>
              <w:spacing w:before="120" w:after="120"/>
            </w:pPr>
            <w:r w:rsidRPr="007A48CA">
              <w:t>Outreach</w:t>
            </w:r>
          </w:p>
        </w:tc>
        <w:tc>
          <w:tcPr>
            <w:tcW w:w="5493" w:type="dxa"/>
          </w:tcPr>
          <w:p w:rsidR="007A48CA" w:rsidRPr="007A48CA" w:rsidRDefault="007A48CA" w:rsidP="007A48CA">
            <w:pPr>
              <w:spacing w:before="120" w:after="120"/>
            </w:pPr>
            <w:r w:rsidRPr="007A48CA">
              <w:t>The first step in the ADR process is one mandatory outreach. The purpose of outreach is to explain VRB practices to unrepresented applicants and to give them an opportunity to consider representation. For all other cases, the purpose of an outreach is to discuss how the application will proceed before the Board.</w:t>
            </w:r>
          </w:p>
        </w:tc>
      </w:tr>
      <w:tr w:rsidR="007A48CA" w:rsidRPr="004D44D5" w:rsidTr="004D44D5">
        <w:trPr>
          <w:cantSplit/>
        </w:trPr>
        <w:tc>
          <w:tcPr>
            <w:tcW w:w="2455" w:type="dxa"/>
          </w:tcPr>
          <w:p w:rsidR="007A48CA" w:rsidRPr="007A48CA" w:rsidRDefault="007A48CA" w:rsidP="007A48CA">
            <w:pPr>
              <w:spacing w:before="120" w:after="120"/>
            </w:pPr>
            <w:r w:rsidRPr="007A48CA">
              <w:t>Principal Member</w:t>
            </w:r>
            <w:r w:rsidR="001D1DCA">
              <w:fldChar w:fldCharType="begin"/>
            </w:r>
            <w:r w:rsidR="001D1DCA">
              <w:instrText xml:space="preserve"> XE "</w:instrText>
            </w:r>
            <w:r w:rsidR="001D1DCA" w:rsidRPr="002D7689">
              <w:instrText>Principal Member</w:instrText>
            </w:r>
            <w:r w:rsidR="001D1DCA">
              <w:instrText xml:space="preserve">" </w:instrText>
            </w:r>
            <w:r w:rsidR="001D1DCA">
              <w:fldChar w:fldCharType="end"/>
            </w:r>
          </w:p>
        </w:tc>
        <w:tc>
          <w:tcPr>
            <w:tcW w:w="5493" w:type="dxa"/>
          </w:tcPr>
          <w:p w:rsidR="007A48CA" w:rsidRPr="007A48CA" w:rsidRDefault="007A48CA" w:rsidP="007A48CA">
            <w:pPr>
              <w:spacing w:before="120" w:after="120"/>
            </w:pPr>
            <w:r w:rsidRPr="007A48CA">
              <w:t>The member of the VRB appointed by the Governor-General who is responsible for the national management of the VRB, and who must have legal qualifications.</w:t>
            </w:r>
          </w:p>
        </w:tc>
      </w:tr>
      <w:tr w:rsidR="007A48CA" w:rsidRPr="004D44D5" w:rsidTr="004D44D5">
        <w:trPr>
          <w:cantSplit/>
        </w:trPr>
        <w:tc>
          <w:tcPr>
            <w:tcW w:w="2455" w:type="dxa"/>
          </w:tcPr>
          <w:p w:rsidR="007A48CA" w:rsidRPr="007A48CA" w:rsidRDefault="007A48CA" w:rsidP="007A48CA">
            <w:pPr>
              <w:spacing w:before="120" w:after="120"/>
            </w:pPr>
            <w:r w:rsidRPr="007A48CA">
              <w:t>Reconsideration</w:t>
            </w:r>
          </w:p>
        </w:tc>
        <w:tc>
          <w:tcPr>
            <w:tcW w:w="5493" w:type="dxa"/>
          </w:tcPr>
          <w:p w:rsidR="007A48CA" w:rsidRPr="007A48CA" w:rsidRDefault="007A48CA" w:rsidP="007A48CA">
            <w:pPr>
              <w:spacing w:before="120" w:after="120"/>
            </w:pPr>
            <w:r w:rsidRPr="007A48CA">
              <w:t>A new consideration or review of an original determination under s347</w:t>
            </w:r>
            <w:r w:rsidR="0005789C">
              <w:fldChar w:fldCharType="begin"/>
            </w:r>
            <w:r w:rsidR="0005789C">
              <w:instrText xml:space="preserve"> XE "</w:instrText>
            </w:r>
            <w:r w:rsidR="0005789C" w:rsidRPr="002D7689">
              <w:instrText>section 347 reconsideration</w:instrText>
            </w:r>
            <w:r w:rsidR="0005789C">
              <w:instrText xml:space="preserve">" </w:instrText>
            </w:r>
            <w:r w:rsidR="0005789C">
              <w:fldChar w:fldCharType="end"/>
            </w:r>
            <w:r w:rsidRPr="007A48CA">
              <w:t xml:space="preserve"> or s349 of the MRCA.</w:t>
            </w:r>
          </w:p>
        </w:tc>
      </w:tr>
      <w:tr w:rsidR="007A48CA" w:rsidRPr="004D44D5" w:rsidTr="004D44D5">
        <w:trPr>
          <w:cantSplit/>
        </w:trPr>
        <w:tc>
          <w:tcPr>
            <w:tcW w:w="2455" w:type="dxa"/>
          </w:tcPr>
          <w:p w:rsidR="007A48CA" w:rsidRPr="007A48CA" w:rsidRDefault="007A48CA" w:rsidP="007A48CA">
            <w:pPr>
              <w:spacing w:before="120" w:after="120"/>
            </w:pPr>
            <w:r w:rsidRPr="007A48CA">
              <w:t>Registrar</w:t>
            </w:r>
            <w:r w:rsidR="001D1DCA">
              <w:fldChar w:fldCharType="begin"/>
            </w:r>
            <w:r w:rsidR="001D1DCA">
              <w:instrText xml:space="preserve"> XE "</w:instrText>
            </w:r>
            <w:r w:rsidR="001D1DCA" w:rsidRPr="002D7689">
              <w:instrText>Registrars</w:instrText>
            </w:r>
            <w:r w:rsidR="001D1DCA">
              <w:instrText xml:space="preserve">" </w:instrText>
            </w:r>
            <w:r w:rsidR="001D1DCA">
              <w:fldChar w:fldCharType="end"/>
            </w:r>
          </w:p>
        </w:tc>
        <w:tc>
          <w:tcPr>
            <w:tcW w:w="5493" w:type="dxa"/>
          </w:tcPr>
          <w:p w:rsidR="007A48CA" w:rsidRPr="007A48CA" w:rsidRDefault="007A48CA" w:rsidP="007A48CA">
            <w:pPr>
              <w:spacing w:before="120" w:after="120"/>
            </w:pPr>
            <w:r w:rsidRPr="007A48CA">
              <w:t>VRB staff</w:t>
            </w:r>
            <w:r w:rsidR="0005789C">
              <w:fldChar w:fldCharType="begin"/>
            </w:r>
            <w:r w:rsidR="0005789C">
              <w:instrText xml:space="preserve"> XE "</w:instrText>
            </w:r>
            <w:r w:rsidR="0005789C" w:rsidRPr="002D7689">
              <w:instrText>staff</w:instrText>
            </w:r>
            <w:r w:rsidR="0005789C">
              <w:instrText xml:space="preserve">" </w:instrText>
            </w:r>
            <w:r w:rsidR="0005789C">
              <w:fldChar w:fldCharType="end"/>
            </w:r>
            <w:r w:rsidRPr="007A48CA">
              <w:t xml:space="preserve"> member who manages a State Registry of the VRB.</w:t>
            </w:r>
          </w:p>
        </w:tc>
      </w:tr>
      <w:tr w:rsidR="007A48CA" w:rsidRPr="004D44D5" w:rsidTr="004D44D5">
        <w:trPr>
          <w:cantSplit/>
        </w:trPr>
        <w:tc>
          <w:tcPr>
            <w:tcW w:w="2455" w:type="dxa"/>
          </w:tcPr>
          <w:p w:rsidR="007A48CA" w:rsidRPr="007A48CA" w:rsidRDefault="007A48CA" w:rsidP="007A48CA">
            <w:pPr>
              <w:spacing w:before="120" w:after="120"/>
            </w:pPr>
            <w:r w:rsidRPr="007A48CA">
              <w:t>Registry</w:t>
            </w:r>
          </w:p>
        </w:tc>
        <w:tc>
          <w:tcPr>
            <w:tcW w:w="5493" w:type="dxa"/>
          </w:tcPr>
          <w:p w:rsidR="007A48CA" w:rsidRPr="007A48CA" w:rsidRDefault="007A48CA" w:rsidP="007A48CA">
            <w:pPr>
              <w:spacing w:before="120" w:after="120"/>
            </w:pPr>
            <w:r w:rsidRPr="007A48CA">
              <w:t>An office of a court, tribunal, or the VRB.</w:t>
            </w:r>
          </w:p>
        </w:tc>
      </w:tr>
      <w:tr w:rsidR="007A48CA" w:rsidRPr="004D44D5" w:rsidTr="004D44D5">
        <w:trPr>
          <w:cantSplit/>
        </w:trPr>
        <w:tc>
          <w:tcPr>
            <w:tcW w:w="2455" w:type="dxa"/>
          </w:tcPr>
          <w:p w:rsidR="007A48CA" w:rsidRPr="007A48CA" w:rsidRDefault="007A48CA" w:rsidP="007A48CA">
            <w:pPr>
              <w:spacing w:before="120" w:after="120"/>
            </w:pPr>
            <w:r w:rsidRPr="007A48CA">
              <w:t>Respondent</w:t>
            </w:r>
          </w:p>
        </w:tc>
        <w:tc>
          <w:tcPr>
            <w:tcW w:w="5493" w:type="dxa"/>
          </w:tcPr>
          <w:p w:rsidR="007A48CA" w:rsidRPr="007A48CA" w:rsidRDefault="007A48CA" w:rsidP="007A48CA">
            <w:pPr>
              <w:spacing w:before="120" w:after="120"/>
            </w:pPr>
            <w:r w:rsidRPr="007A48CA">
              <w:t>A person or body against whom a claim, application, or appeal is brought; the party that responds to an application brought by an applicant.</w:t>
            </w:r>
          </w:p>
        </w:tc>
      </w:tr>
      <w:tr w:rsidR="007A48CA" w:rsidRPr="004D44D5" w:rsidTr="004D44D5">
        <w:trPr>
          <w:cantSplit/>
        </w:trPr>
        <w:tc>
          <w:tcPr>
            <w:tcW w:w="2455" w:type="dxa"/>
          </w:tcPr>
          <w:p w:rsidR="007A48CA" w:rsidRPr="007A48CA" w:rsidRDefault="007A48CA" w:rsidP="007A48CA">
            <w:pPr>
              <w:spacing w:before="120" w:after="120"/>
            </w:pPr>
            <w:r w:rsidRPr="007A48CA">
              <w:t>s31 review</w:t>
            </w:r>
          </w:p>
        </w:tc>
        <w:tc>
          <w:tcPr>
            <w:tcW w:w="5493" w:type="dxa"/>
          </w:tcPr>
          <w:p w:rsidR="007A48CA" w:rsidRPr="007A48CA" w:rsidRDefault="007A48CA" w:rsidP="007A48CA">
            <w:pPr>
              <w:spacing w:before="120" w:after="120"/>
            </w:pPr>
            <w:r w:rsidRPr="007A48CA">
              <w:t>Review by a delegate of the Repatriation Commission</w:t>
            </w:r>
            <w:r w:rsidR="0005789C">
              <w:fldChar w:fldCharType="begin"/>
            </w:r>
            <w:r w:rsidR="0005789C">
              <w:instrText xml:space="preserve"> XE "</w:instrText>
            </w:r>
            <w:r w:rsidR="0005789C" w:rsidRPr="002D7689">
              <w:instrText>Repatriation Commission</w:instrText>
            </w:r>
            <w:r w:rsidR="0005789C">
              <w:instrText xml:space="preserve">" </w:instrText>
            </w:r>
            <w:r w:rsidR="0005789C">
              <w:fldChar w:fldCharType="end"/>
            </w:r>
            <w:r w:rsidRPr="007A48CA">
              <w:t>.</w:t>
            </w:r>
          </w:p>
        </w:tc>
      </w:tr>
      <w:tr w:rsidR="007A48CA" w:rsidRPr="004D44D5" w:rsidTr="004D44D5">
        <w:trPr>
          <w:cantSplit/>
        </w:trPr>
        <w:tc>
          <w:tcPr>
            <w:tcW w:w="2455" w:type="dxa"/>
          </w:tcPr>
          <w:p w:rsidR="007A48CA" w:rsidRPr="007A48CA" w:rsidRDefault="007A48CA" w:rsidP="007A48CA">
            <w:pPr>
              <w:spacing w:before="120" w:after="120"/>
            </w:pPr>
            <w:r w:rsidRPr="007A48CA">
              <w:t>s37 documents</w:t>
            </w:r>
          </w:p>
        </w:tc>
        <w:tc>
          <w:tcPr>
            <w:tcW w:w="5493" w:type="dxa"/>
          </w:tcPr>
          <w:p w:rsidR="007A48CA" w:rsidRPr="007A48CA" w:rsidRDefault="007A48CA" w:rsidP="007A48CA">
            <w:pPr>
              <w:spacing w:before="120" w:after="120"/>
            </w:pPr>
            <w:r w:rsidRPr="007A48CA">
              <w:t>Documents prepared by the decision-maker for the purpose of an AAT review (also called ‘T-documents’).</w:t>
            </w:r>
          </w:p>
        </w:tc>
      </w:tr>
      <w:tr w:rsidR="007A48CA" w:rsidRPr="004D44D5" w:rsidTr="004D44D5">
        <w:trPr>
          <w:cantSplit/>
        </w:trPr>
        <w:tc>
          <w:tcPr>
            <w:tcW w:w="2455" w:type="dxa"/>
          </w:tcPr>
          <w:p w:rsidR="007A48CA" w:rsidRPr="007A48CA" w:rsidRDefault="007A48CA" w:rsidP="007A48CA">
            <w:pPr>
              <w:spacing w:before="120" w:after="120"/>
            </w:pPr>
            <w:r w:rsidRPr="007A48CA">
              <w:t>s137 report</w:t>
            </w:r>
          </w:p>
        </w:tc>
        <w:tc>
          <w:tcPr>
            <w:tcW w:w="5493" w:type="dxa"/>
          </w:tcPr>
          <w:p w:rsidR="007A48CA" w:rsidRPr="007A48CA" w:rsidRDefault="007A48CA" w:rsidP="007A48CA">
            <w:pPr>
              <w:spacing w:before="120" w:after="120"/>
            </w:pPr>
            <w:r w:rsidRPr="007A48CA">
              <w:t>Documents prepared by DVA for the purpose of a VRB review.</w:t>
            </w:r>
          </w:p>
        </w:tc>
      </w:tr>
      <w:tr w:rsidR="007A48CA" w:rsidRPr="004D44D5" w:rsidTr="004D44D5">
        <w:trPr>
          <w:cantSplit/>
        </w:trPr>
        <w:tc>
          <w:tcPr>
            <w:tcW w:w="2455" w:type="dxa"/>
          </w:tcPr>
          <w:p w:rsidR="007A48CA" w:rsidRPr="007A48CA" w:rsidRDefault="007A48CA" w:rsidP="007A48CA">
            <w:pPr>
              <w:spacing w:before="120" w:after="120"/>
            </w:pPr>
            <w:r w:rsidRPr="007A48CA">
              <w:t>s148(1) letter</w:t>
            </w:r>
          </w:p>
        </w:tc>
        <w:tc>
          <w:tcPr>
            <w:tcW w:w="5493" w:type="dxa"/>
          </w:tcPr>
          <w:p w:rsidR="007A48CA" w:rsidRPr="007A48CA" w:rsidRDefault="007A48CA" w:rsidP="007A48CA">
            <w:pPr>
              <w:spacing w:before="120" w:after="120"/>
            </w:pPr>
            <w:r w:rsidRPr="007A48CA">
              <w:t>Letter sent to an applicant by the VRB seeking advice concerning how or if the applicant will appear or be represented at the VRB hearing.</w:t>
            </w:r>
          </w:p>
        </w:tc>
      </w:tr>
      <w:tr w:rsidR="007A48CA" w:rsidRPr="004D44D5" w:rsidTr="004D44D5">
        <w:trPr>
          <w:cantSplit/>
        </w:trPr>
        <w:tc>
          <w:tcPr>
            <w:tcW w:w="2455" w:type="dxa"/>
          </w:tcPr>
          <w:p w:rsidR="007A48CA" w:rsidRPr="007A48CA" w:rsidRDefault="007A48CA" w:rsidP="007A48CA">
            <w:pPr>
              <w:spacing w:before="120" w:after="120"/>
            </w:pPr>
            <w:r w:rsidRPr="007A48CA">
              <w:t>s148(6A) request</w:t>
            </w:r>
          </w:p>
        </w:tc>
        <w:tc>
          <w:tcPr>
            <w:tcW w:w="5493" w:type="dxa"/>
          </w:tcPr>
          <w:p w:rsidR="007A48CA" w:rsidRPr="007A48CA" w:rsidRDefault="007A48CA" w:rsidP="007A48CA">
            <w:pPr>
              <w:spacing w:before="120" w:after="120"/>
            </w:pPr>
            <w:r w:rsidRPr="007A48CA">
              <w:t>Request sent by VRB Registrar as delegate of Principal Member to the Secretary of DVA or MRCC seeking further investigation or documents.</w:t>
            </w:r>
          </w:p>
        </w:tc>
      </w:tr>
      <w:tr w:rsidR="007A48CA" w:rsidRPr="004D44D5" w:rsidTr="004D44D5">
        <w:trPr>
          <w:cantSplit/>
        </w:trPr>
        <w:tc>
          <w:tcPr>
            <w:tcW w:w="2455" w:type="dxa"/>
          </w:tcPr>
          <w:p w:rsidR="007A48CA" w:rsidRPr="007A48CA" w:rsidRDefault="007A48CA" w:rsidP="007A48CA">
            <w:pPr>
              <w:spacing w:before="120" w:after="120"/>
            </w:pPr>
            <w:r w:rsidRPr="007A48CA">
              <w:lastRenderedPageBreak/>
              <w:t>s151 adjournment</w:t>
            </w:r>
          </w:p>
        </w:tc>
        <w:tc>
          <w:tcPr>
            <w:tcW w:w="5493" w:type="dxa"/>
          </w:tcPr>
          <w:p w:rsidR="007A48CA" w:rsidRPr="007A48CA" w:rsidRDefault="007A48CA" w:rsidP="007A48CA">
            <w:pPr>
              <w:spacing w:before="120" w:after="120"/>
            </w:pPr>
            <w:r w:rsidRPr="007A48CA">
              <w:t>Adjournment of a hearing by VRB usually at the applicant’s request, but can be for any reason.</w:t>
            </w:r>
          </w:p>
        </w:tc>
      </w:tr>
      <w:tr w:rsidR="007A48CA" w:rsidRPr="004D44D5" w:rsidTr="004D44D5">
        <w:trPr>
          <w:cantSplit/>
        </w:trPr>
        <w:tc>
          <w:tcPr>
            <w:tcW w:w="2455" w:type="dxa"/>
          </w:tcPr>
          <w:p w:rsidR="007A48CA" w:rsidRPr="007A48CA" w:rsidRDefault="007A48CA" w:rsidP="007A48CA">
            <w:pPr>
              <w:spacing w:before="120" w:after="120"/>
            </w:pPr>
            <w:r w:rsidRPr="007A48CA">
              <w:t>s152 adjournment</w:t>
            </w:r>
          </w:p>
        </w:tc>
        <w:tc>
          <w:tcPr>
            <w:tcW w:w="5493" w:type="dxa"/>
          </w:tcPr>
          <w:p w:rsidR="007A48CA" w:rsidRPr="007A48CA" w:rsidRDefault="007A48CA" w:rsidP="007A48CA">
            <w:pPr>
              <w:spacing w:before="120" w:after="120"/>
            </w:pPr>
            <w:r w:rsidRPr="007A48CA">
              <w:t>Adjournment of a VRB hearing in order that the presiding member can ask the Secretary of DVA or the MRCC for further investigation or further documents.</w:t>
            </w:r>
          </w:p>
        </w:tc>
      </w:tr>
      <w:tr w:rsidR="007A48CA" w:rsidRPr="004D44D5" w:rsidTr="004D44D5">
        <w:trPr>
          <w:cantSplit/>
        </w:trPr>
        <w:tc>
          <w:tcPr>
            <w:tcW w:w="2455" w:type="dxa"/>
          </w:tcPr>
          <w:p w:rsidR="007A48CA" w:rsidRPr="007A48CA" w:rsidRDefault="007A48CA" w:rsidP="007A48CA">
            <w:pPr>
              <w:spacing w:before="120" w:after="120"/>
            </w:pPr>
            <w:r w:rsidRPr="007A48CA">
              <w:t>s152 request</w:t>
            </w:r>
          </w:p>
        </w:tc>
        <w:tc>
          <w:tcPr>
            <w:tcW w:w="5493" w:type="dxa"/>
          </w:tcPr>
          <w:p w:rsidR="007A48CA" w:rsidRPr="007A48CA" w:rsidRDefault="007A48CA" w:rsidP="007A48CA">
            <w:pPr>
              <w:spacing w:before="120" w:after="120"/>
            </w:pPr>
            <w:r w:rsidRPr="007A48CA">
              <w:t>The request made to the Secretary of DVA or the MRCC by the presiding member of the VRB panel for further investigation or documents.</w:t>
            </w:r>
          </w:p>
        </w:tc>
      </w:tr>
      <w:tr w:rsidR="007A48CA" w:rsidRPr="004D44D5" w:rsidTr="004D44D5">
        <w:trPr>
          <w:cantSplit/>
        </w:trPr>
        <w:tc>
          <w:tcPr>
            <w:tcW w:w="2455" w:type="dxa"/>
          </w:tcPr>
          <w:p w:rsidR="007A48CA" w:rsidRPr="007A48CA" w:rsidRDefault="007A48CA" w:rsidP="007A48CA">
            <w:pPr>
              <w:spacing w:before="120" w:after="120"/>
            </w:pPr>
            <w:r w:rsidRPr="007A48CA">
              <w:t>s347 reconsideration</w:t>
            </w:r>
          </w:p>
        </w:tc>
        <w:tc>
          <w:tcPr>
            <w:tcW w:w="5493" w:type="dxa"/>
          </w:tcPr>
          <w:p w:rsidR="007A48CA" w:rsidRPr="007A48CA" w:rsidRDefault="007A48CA" w:rsidP="007A48CA">
            <w:pPr>
              <w:spacing w:before="120" w:after="120"/>
            </w:pPr>
            <w:r w:rsidRPr="007A48CA">
              <w:t>Reconsideration of an original determination by a delegate of the MRCC or a service chief at their own discretion.</w:t>
            </w:r>
          </w:p>
        </w:tc>
      </w:tr>
      <w:tr w:rsidR="007A48CA" w:rsidRPr="004D44D5" w:rsidTr="004D44D5">
        <w:trPr>
          <w:cantSplit/>
        </w:trPr>
        <w:tc>
          <w:tcPr>
            <w:tcW w:w="2455" w:type="dxa"/>
          </w:tcPr>
          <w:p w:rsidR="007A48CA" w:rsidRPr="007A48CA" w:rsidRDefault="007A48CA" w:rsidP="007A48CA">
            <w:pPr>
              <w:spacing w:before="120" w:after="120"/>
            </w:pPr>
            <w:r w:rsidRPr="007A48CA">
              <w:t>s349 reconsideration</w:t>
            </w:r>
          </w:p>
        </w:tc>
        <w:tc>
          <w:tcPr>
            <w:tcW w:w="5493" w:type="dxa"/>
          </w:tcPr>
          <w:p w:rsidR="007A48CA" w:rsidRPr="007A48CA" w:rsidRDefault="007A48CA" w:rsidP="007A48CA">
            <w:pPr>
              <w:spacing w:before="120" w:after="120"/>
            </w:pPr>
            <w:r w:rsidRPr="007A48CA">
              <w:t>Reconsideration of an original determination by a delegate of the MRCC or a service chief at the request of a claimant. If such a request is made, the person cannot also seek review of the same determination by the VRB.</w:t>
            </w:r>
          </w:p>
        </w:tc>
      </w:tr>
      <w:tr w:rsidR="007A48CA" w:rsidRPr="004D44D5" w:rsidTr="004D44D5">
        <w:trPr>
          <w:cantSplit/>
        </w:trPr>
        <w:tc>
          <w:tcPr>
            <w:tcW w:w="2455" w:type="dxa"/>
          </w:tcPr>
          <w:p w:rsidR="007A48CA" w:rsidRPr="007A48CA" w:rsidRDefault="007A48CA" w:rsidP="007A48CA">
            <w:pPr>
              <w:spacing w:before="120" w:after="120"/>
            </w:pPr>
            <w:r w:rsidRPr="007A48CA">
              <w:t>Senior Member</w:t>
            </w:r>
          </w:p>
        </w:tc>
        <w:tc>
          <w:tcPr>
            <w:tcW w:w="5493" w:type="dxa"/>
          </w:tcPr>
          <w:p w:rsidR="007A48CA" w:rsidRPr="007A48CA" w:rsidRDefault="007A48CA" w:rsidP="007A48CA">
            <w:pPr>
              <w:spacing w:before="120" w:after="120"/>
            </w:pPr>
            <w:r w:rsidRPr="007A48CA">
              <w:t>A member of the VRB appointed by the Governor-General who usually presides at VRB hearings, and who usually has legal qualifications.</w:t>
            </w:r>
          </w:p>
        </w:tc>
      </w:tr>
      <w:tr w:rsidR="007A48CA" w:rsidRPr="004D44D5" w:rsidTr="004D44D5">
        <w:trPr>
          <w:cantSplit/>
        </w:trPr>
        <w:tc>
          <w:tcPr>
            <w:tcW w:w="2455" w:type="dxa"/>
          </w:tcPr>
          <w:p w:rsidR="007A48CA" w:rsidRPr="007A48CA" w:rsidRDefault="007A48CA" w:rsidP="007A48CA">
            <w:pPr>
              <w:spacing w:before="120" w:after="120"/>
            </w:pPr>
            <w:r w:rsidRPr="007A48CA">
              <w:t>Service chief</w:t>
            </w:r>
          </w:p>
        </w:tc>
        <w:tc>
          <w:tcPr>
            <w:tcW w:w="5493" w:type="dxa"/>
          </w:tcPr>
          <w:p w:rsidR="007A48CA" w:rsidRPr="007A48CA" w:rsidRDefault="007A48CA" w:rsidP="007A48CA">
            <w:pPr>
              <w:spacing w:before="120" w:after="120"/>
            </w:pPr>
            <w:r w:rsidRPr="007A48CA">
              <w:t>The Chief of the Army, the Chief of the Air Force, or the Chief of the Navy.</w:t>
            </w:r>
          </w:p>
        </w:tc>
      </w:tr>
      <w:tr w:rsidR="007A48CA" w:rsidRPr="004D44D5" w:rsidTr="004D44D5">
        <w:trPr>
          <w:cantSplit/>
        </w:trPr>
        <w:tc>
          <w:tcPr>
            <w:tcW w:w="2455" w:type="dxa"/>
          </w:tcPr>
          <w:p w:rsidR="007A48CA" w:rsidRPr="007A48CA" w:rsidRDefault="007A48CA" w:rsidP="007A48CA">
            <w:pPr>
              <w:spacing w:before="120" w:after="120"/>
            </w:pPr>
            <w:r w:rsidRPr="007A48CA">
              <w:t>Services Member</w:t>
            </w:r>
          </w:p>
        </w:tc>
        <w:tc>
          <w:tcPr>
            <w:tcW w:w="5493" w:type="dxa"/>
          </w:tcPr>
          <w:p w:rsidR="007A48CA" w:rsidRPr="007A48CA" w:rsidRDefault="007A48CA" w:rsidP="007A48CA">
            <w:pPr>
              <w:spacing w:before="120" w:after="120"/>
            </w:pPr>
            <w:r w:rsidRPr="007A48CA">
              <w:t>A member of the VRB appointed by the Governor-General who was nominated by an organisation representing veterans throughout Australia, and who usually has broad and extensive military experience.</w:t>
            </w:r>
          </w:p>
        </w:tc>
      </w:tr>
      <w:tr w:rsidR="007A48CA" w:rsidRPr="004D44D5" w:rsidTr="004D44D5">
        <w:trPr>
          <w:cantSplit/>
        </w:trPr>
        <w:tc>
          <w:tcPr>
            <w:tcW w:w="2455" w:type="dxa"/>
          </w:tcPr>
          <w:p w:rsidR="007A48CA" w:rsidRPr="007A48CA" w:rsidRDefault="007A48CA" w:rsidP="007A48CA">
            <w:pPr>
              <w:spacing w:before="120" w:after="120"/>
            </w:pPr>
            <w:r w:rsidRPr="007A48CA">
              <w:t>SoP</w:t>
            </w:r>
          </w:p>
        </w:tc>
        <w:tc>
          <w:tcPr>
            <w:tcW w:w="5493" w:type="dxa"/>
          </w:tcPr>
          <w:p w:rsidR="007A48CA" w:rsidRPr="007A48CA" w:rsidRDefault="007A48CA" w:rsidP="007A48CA">
            <w:pPr>
              <w:spacing w:before="120" w:after="120"/>
            </w:pPr>
            <w:r w:rsidRPr="007A48CA">
              <w:t>Statement of Principles determined by the Repatriation Medical Authority</w:t>
            </w:r>
            <w:r w:rsidR="0005789C">
              <w:fldChar w:fldCharType="begin"/>
            </w:r>
            <w:r w:rsidR="0005789C">
              <w:instrText xml:space="preserve"> XE "</w:instrText>
            </w:r>
            <w:r w:rsidR="0005789C" w:rsidRPr="002D7689">
              <w:instrText>Repatriation Medical Authority</w:instrText>
            </w:r>
            <w:r w:rsidR="0005789C">
              <w:instrText xml:space="preserve">" </w:instrText>
            </w:r>
            <w:r w:rsidR="0005789C">
              <w:fldChar w:fldCharType="end"/>
            </w:r>
            <w:r w:rsidRPr="007A48CA">
              <w:t>.</w:t>
            </w:r>
          </w:p>
        </w:tc>
      </w:tr>
      <w:tr w:rsidR="007A48CA" w:rsidRPr="004D44D5" w:rsidTr="004D44D5">
        <w:trPr>
          <w:cantSplit/>
        </w:trPr>
        <w:tc>
          <w:tcPr>
            <w:tcW w:w="2455" w:type="dxa"/>
          </w:tcPr>
          <w:p w:rsidR="007A48CA" w:rsidRPr="007A48CA" w:rsidRDefault="007A48CA" w:rsidP="007A48CA">
            <w:pPr>
              <w:spacing w:before="120" w:after="120"/>
            </w:pPr>
            <w:r w:rsidRPr="007A48CA">
              <w:t>Special Rate</w:t>
            </w:r>
            <w:r w:rsidR="0005789C">
              <w:fldChar w:fldCharType="begin"/>
            </w:r>
            <w:r w:rsidR="0005789C">
              <w:instrText xml:space="preserve"> XE "</w:instrText>
            </w:r>
            <w:r w:rsidR="0005789C" w:rsidRPr="002D7689">
              <w:instrText>special rate</w:instrText>
            </w:r>
            <w:r w:rsidR="0005789C">
              <w:instrText xml:space="preserve">" </w:instrText>
            </w:r>
            <w:r w:rsidR="0005789C">
              <w:fldChar w:fldCharType="end"/>
            </w:r>
          </w:p>
        </w:tc>
        <w:tc>
          <w:tcPr>
            <w:tcW w:w="5493" w:type="dxa"/>
          </w:tcPr>
          <w:p w:rsidR="007A48CA" w:rsidRPr="007A48CA" w:rsidRDefault="007A48CA" w:rsidP="007A48CA">
            <w:pPr>
              <w:spacing w:before="120" w:after="120"/>
            </w:pPr>
            <w:r w:rsidRPr="007A48CA">
              <w:t>The highest rate of disability pension (also called the ‘TPI’ rate). It is paid if the person is blind due to accepted disabilities, or if the person meets certain tests concerning incapacity for work. One of these tests involves being unable to do more than 8 hours of remunerative work a week due to accepted disabilities.</w:t>
            </w:r>
          </w:p>
        </w:tc>
      </w:tr>
      <w:tr w:rsidR="007A48CA" w:rsidRPr="004D44D5" w:rsidTr="004D44D5">
        <w:trPr>
          <w:cantSplit/>
        </w:trPr>
        <w:tc>
          <w:tcPr>
            <w:tcW w:w="2455" w:type="dxa"/>
          </w:tcPr>
          <w:p w:rsidR="007A48CA" w:rsidRPr="007A48CA" w:rsidRDefault="007A48CA" w:rsidP="007A48CA">
            <w:pPr>
              <w:spacing w:before="120" w:after="120"/>
            </w:pPr>
            <w:r w:rsidRPr="007A48CA">
              <w:t>SRCA</w:t>
            </w:r>
          </w:p>
        </w:tc>
        <w:tc>
          <w:tcPr>
            <w:tcW w:w="5493" w:type="dxa"/>
          </w:tcPr>
          <w:p w:rsidR="007A48CA" w:rsidRPr="007A48CA" w:rsidRDefault="007A48CA" w:rsidP="007A48CA">
            <w:pPr>
              <w:spacing w:before="120" w:after="120"/>
            </w:pPr>
            <w:r w:rsidRPr="007A48CA">
              <w:rPr>
                <w:i/>
              </w:rPr>
              <w:t>Safety, Rehabilitation and Compensation Act 1988</w:t>
            </w:r>
            <w:r w:rsidRPr="007A48CA">
              <w:t>.</w:t>
            </w:r>
          </w:p>
        </w:tc>
      </w:tr>
      <w:tr w:rsidR="007A48CA" w:rsidRPr="004D44D5" w:rsidTr="004D44D5">
        <w:trPr>
          <w:cantSplit/>
        </w:trPr>
        <w:tc>
          <w:tcPr>
            <w:tcW w:w="2455" w:type="dxa"/>
          </w:tcPr>
          <w:p w:rsidR="007A48CA" w:rsidRPr="007A48CA" w:rsidRDefault="007A48CA" w:rsidP="007A48CA">
            <w:pPr>
              <w:spacing w:before="120" w:after="120"/>
            </w:pPr>
            <w:r w:rsidRPr="007A48CA">
              <w:t>Telephone hearing</w:t>
            </w:r>
          </w:p>
        </w:tc>
        <w:tc>
          <w:tcPr>
            <w:tcW w:w="5493" w:type="dxa"/>
          </w:tcPr>
          <w:p w:rsidR="007A48CA" w:rsidRPr="007A48CA" w:rsidRDefault="007A48CA" w:rsidP="007A48CA">
            <w:pPr>
              <w:spacing w:before="120" w:after="120"/>
            </w:pPr>
            <w:r w:rsidRPr="007A48CA">
              <w:t>A VRB hearing conducted by telephone between a VRB hearing room and another location.</w:t>
            </w:r>
          </w:p>
        </w:tc>
      </w:tr>
      <w:tr w:rsidR="007A48CA" w:rsidRPr="004D44D5" w:rsidTr="004D44D5">
        <w:trPr>
          <w:cantSplit/>
        </w:trPr>
        <w:tc>
          <w:tcPr>
            <w:tcW w:w="2455" w:type="dxa"/>
          </w:tcPr>
          <w:p w:rsidR="007A48CA" w:rsidRPr="007A48CA" w:rsidRDefault="007A48CA" w:rsidP="007A48CA">
            <w:pPr>
              <w:spacing w:before="120" w:after="120"/>
            </w:pPr>
            <w:r w:rsidRPr="007A48CA">
              <w:t>TIP</w:t>
            </w:r>
          </w:p>
        </w:tc>
        <w:tc>
          <w:tcPr>
            <w:tcW w:w="5493" w:type="dxa"/>
          </w:tcPr>
          <w:p w:rsidR="007A48CA" w:rsidRPr="007A48CA" w:rsidRDefault="007A48CA" w:rsidP="007A48CA">
            <w:pPr>
              <w:spacing w:before="120" w:after="120"/>
            </w:pPr>
            <w:r w:rsidRPr="007A48CA">
              <w:t>Training and Information Program funded by DVA for training pension and welfare officers and representatives</w:t>
            </w:r>
            <w:r w:rsidR="0005789C">
              <w:fldChar w:fldCharType="begin"/>
            </w:r>
            <w:r w:rsidR="0005789C">
              <w:instrText xml:space="preserve"> XE "</w:instrText>
            </w:r>
            <w:r w:rsidR="0005789C" w:rsidRPr="002D7689">
              <w:instrText>representatives</w:instrText>
            </w:r>
            <w:r w:rsidR="0005789C">
              <w:instrText xml:space="preserve">" </w:instrText>
            </w:r>
            <w:r w:rsidR="0005789C">
              <w:fldChar w:fldCharType="end"/>
            </w:r>
            <w:r w:rsidRPr="007A48CA">
              <w:t>, conducted by ESO, DVA and VRB trainers.</w:t>
            </w:r>
          </w:p>
        </w:tc>
      </w:tr>
      <w:tr w:rsidR="007A48CA" w:rsidRPr="004D44D5" w:rsidTr="004D44D5">
        <w:trPr>
          <w:cantSplit/>
        </w:trPr>
        <w:tc>
          <w:tcPr>
            <w:tcW w:w="2455" w:type="dxa"/>
          </w:tcPr>
          <w:p w:rsidR="007A48CA" w:rsidRPr="007A48CA" w:rsidRDefault="007A48CA" w:rsidP="007A48CA">
            <w:pPr>
              <w:spacing w:before="120" w:after="120"/>
            </w:pPr>
            <w:r w:rsidRPr="007A48CA">
              <w:t>VEA</w:t>
            </w:r>
          </w:p>
        </w:tc>
        <w:tc>
          <w:tcPr>
            <w:tcW w:w="5493" w:type="dxa"/>
          </w:tcPr>
          <w:p w:rsidR="007A48CA" w:rsidRPr="007A48CA" w:rsidRDefault="007A48CA" w:rsidP="007A48CA">
            <w:pPr>
              <w:spacing w:before="120" w:after="120"/>
            </w:pPr>
            <w:r w:rsidRPr="007A48CA">
              <w:rPr>
                <w:i/>
              </w:rPr>
              <w:t>Veterans’ Entitlements Act 1986</w:t>
            </w:r>
            <w:r w:rsidRPr="007A48CA">
              <w:t>.</w:t>
            </w:r>
          </w:p>
        </w:tc>
      </w:tr>
      <w:tr w:rsidR="007A48CA" w:rsidRPr="004D44D5" w:rsidTr="004D44D5">
        <w:trPr>
          <w:cantSplit/>
        </w:trPr>
        <w:tc>
          <w:tcPr>
            <w:tcW w:w="2455" w:type="dxa"/>
          </w:tcPr>
          <w:p w:rsidR="007A48CA" w:rsidRPr="007A48CA" w:rsidRDefault="007A48CA" w:rsidP="007A48CA">
            <w:pPr>
              <w:spacing w:before="120" w:after="120"/>
            </w:pPr>
            <w:r w:rsidRPr="007A48CA">
              <w:lastRenderedPageBreak/>
              <w:t>Veteran</w:t>
            </w:r>
          </w:p>
        </w:tc>
        <w:tc>
          <w:tcPr>
            <w:tcW w:w="5493" w:type="dxa"/>
          </w:tcPr>
          <w:p w:rsidR="007A48CA" w:rsidRPr="007A48CA" w:rsidRDefault="007A48CA" w:rsidP="007A48CA">
            <w:pPr>
              <w:spacing w:before="120" w:after="120"/>
            </w:pPr>
            <w:r w:rsidRPr="007A48CA">
              <w:t>A person who has rendered eligible war service under Part II of the VEA.</w:t>
            </w:r>
          </w:p>
        </w:tc>
      </w:tr>
      <w:tr w:rsidR="007A48CA" w:rsidRPr="004D44D5" w:rsidTr="004D44D5">
        <w:trPr>
          <w:cantSplit/>
        </w:trPr>
        <w:tc>
          <w:tcPr>
            <w:tcW w:w="2455" w:type="dxa"/>
          </w:tcPr>
          <w:p w:rsidR="007A48CA" w:rsidRPr="007A48CA" w:rsidRDefault="007A48CA" w:rsidP="007A48CA">
            <w:pPr>
              <w:spacing w:before="120" w:after="120"/>
            </w:pPr>
            <w:r w:rsidRPr="007A48CA">
              <w:t>Video hearing</w:t>
            </w:r>
            <w:r w:rsidR="004A74AE">
              <w:fldChar w:fldCharType="begin"/>
            </w:r>
            <w:r w:rsidR="004A74AE">
              <w:instrText xml:space="preserve"> XE "</w:instrText>
            </w:r>
            <w:r w:rsidR="004A74AE" w:rsidRPr="002D7689">
              <w:instrText>video hearing</w:instrText>
            </w:r>
            <w:r w:rsidR="004A74AE">
              <w:instrText xml:space="preserve">s" </w:instrText>
            </w:r>
            <w:r w:rsidR="004A74AE">
              <w:fldChar w:fldCharType="end"/>
            </w:r>
          </w:p>
        </w:tc>
        <w:tc>
          <w:tcPr>
            <w:tcW w:w="5493" w:type="dxa"/>
          </w:tcPr>
          <w:p w:rsidR="007A48CA" w:rsidRPr="007A48CA" w:rsidRDefault="007A48CA" w:rsidP="007A48CA">
            <w:pPr>
              <w:spacing w:before="120" w:after="120"/>
            </w:pPr>
            <w:r w:rsidRPr="007A48CA">
              <w:t>A VRB hearing conducted by video-link between a VRB hearing room and another location.</w:t>
            </w:r>
          </w:p>
        </w:tc>
      </w:tr>
      <w:tr w:rsidR="007A48CA" w:rsidRPr="004D44D5" w:rsidTr="004D44D5">
        <w:trPr>
          <w:cantSplit/>
        </w:trPr>
        <w:tc>
          <w:tcPr>
            <w:tcW w:w="2455" w:type="dxa"/>
          </w:tcPr>
          <w:p w:rsidR="007A48CA" w:rsidRPr="007A48CA" w:rsidRDefault="007A48CA" w:rsidP="007A48CA">
            <w:pPr>
              <w:spacing w:before="120" w:after="120"/>
            </w:pPr>
            <w:r w:rsidRPr="007A48CA">
              <w:t>VRB</w:t>
            </w:r>
          </w:p>
        </w:tc>
        <w:tc>
          <w:tcPr>
            <w:tcW w:w="5493" w:type="dxa"/>
          </w:tcPr>
          <w:p w:rsidR="007A48CA" w:rsidRPr="007A48CA" w:rsidRDefault="007A48CA" w:rsidP="007A48CA">
            <w:pPr>
              <w:spacing w:before="120" w:after="120"/>
            </w:pPr>
            <w:r w:rsidRPr="007A48CA">
              <w:t>Veterans’ Review Board.</w:t>
            </w:r>
          </w:p>
        </w:tc>
      </w:tr>
      <w:tr w:rsidR="007A48CA" w:rsidRPr="004D44D5" w:rsidTr="004D44D5">
        <w:trPr>
          <w:cantSplit/>
        </w:trPr>
        <w:tc>
          <w:tcPr>
            <w:tcW w:w="2455" w:type="dxa"/>
          </w:tcPr>
          <w:p w:rsidR="007A48CA" w:rsidRPr="007A48CA" w:rsidRDefault="007A48CA" w:rsidP="007A48CA">
            <w:pPr>
              <w:spacing w:before="120" w:after="120"/>
            </w:pPr>
            <w:r w:rsidRPr="007A48CA">
              <w:t>War-caused death</w:t>
            </w:r>
          </w:p>
        </w:tc>
        <w:tc>
          <w:tcPr>
            <w:tcW w:w="5493" w:type="dxa"/>
          </w:tcPr>
          <w:p w:rsidR="007A48CA" w:rsidRPr="007A48CA" w:rsidRDefault="007A48CA" w:rsidP="007A48CA">
            <w:pPr>
              <w:spacing w:before="120" w:after="120"/>
            </w:pPr>
            <w:r w:rsidRPr="007A48CA">
              <w:t>A death for which liability has been accepted under Part II of the VEA as related to eligible war service.</w:t>
            </w:r>
          </w:p>
        </w:tc>
      </w:tr>
      <w:tr w:rsidR="007A48CA" w:rsidRPr="004D44D5" w:rsidTr="004D44D5">
        <w:trPr>
          <w:cantSplit/>
        </w:trPr>
        <w:tc>
          <w:tcPr>
            <w:tcW w:w="2455" w:type="dxa"/>
          </w:tcPr>
          <w:p w:rsidR="007A48CA" w:rsidRPr="007A48CA" w:rsidRDefault="007A48CA" w:rsidP="007A48CA">
            <w:pPr>
              <w:spacing w:before="120" w:after="120"/>
            </w:pPr>
            <w:r w:rsidRPr="007A48CA">
              <w:t>War-caused disease</w:t>
            </w:r>
          </w:p>
        </w:tc>
        <w:tc>
          <w:tcPr>
            <w:tcW w:w="5493" w:type="dxa"/>
          </w:tcPr>
          <w:p w:rsidR="007A48CA" w:rsidRPr="007A48CA" w:rsidRDefault="007A48CA" w:rsidP="007A48CA">
            <w:pPr>
              <w:spacing w:before="120" w:after="120"/>
            </w:pPr>
            <w:r w:rsidRPr="007A48CA">
              <w:t>A disease for which liability has been accepted under Part II of the VEA as related to eligible war service.</w:t>
            </w:r>
          </w:p>
        </w:tc>
      </w:tr>
      <w:tr w:rsidR="007A48CA" w:rsidRPr="004D44D5" w:rsidTr="004D44D5">
        <w:trPr>
          <w:cantSplit/>
        </w:trPr>
        <w:tc>
          <w:tcPr>
            <w:tcW w:w="2455" w:type="dxa"/>
          </w:tcPr>
          <w:p w:rsidR="007A48CA" w:rsidRPr="007A48CA" w:rsidRDefault="007A48CA" w:rsidP="007A48CA">
            <w:pPr>
              <w:spacing w:before="120" w:after="120"/>
            </w:pPr>
            <w:r w:rsidRPr="007A48CA">
              <w:t>War-caused injury</w:t>
            </w:r>
          </w:p>
        </w:tc>
        <w:tc>
          <w:tcPr>
            <w:tcW w:w="5493" w:type="dxa"/>
          </w:tcPr>
          <w:p w:rsidR="007A48CA" w:rsidRPr="007A48CA" w:rsidRDefault="007A48CA" w:rsidP="007A48CA">
            <w:pPr>
              <w:spacing w:before="120" w:after="120"/>
            </w:pPr>
            <w:r w:rsidRPr="007A48CA">
              <w:t>An injury for which liability</w:t>
            </w:r>
            <w:r w:rsidR="00660120">
              <w:fldChar w:fldCharType="begin"/>
            </w:r>
            <w:r w:rsidR="00660120">
              <w:instrText xml:space="preserve"> XE "</w:instrText>
            </w:r>
            <w:r w:rsidR="00660120" w:rsidRPr="003924C2">
              <w:instrText>liability</w:instrText>
            </w:r>
            <w:r w:rsidR="00660120">
              <w:instrText xml:space="preserve">" </w:instrText>
            </w:r>
            <w:r w:rsidR="00660120">
              <w:fldChar w:fldCharType="end"/>
            </w:r>
            <w:r w:rsidRPr="007A48CA">
              <w:t xml:space="preserve"> has been accepted under Part II of the VEA as related to eligible war service.</w:t>
            </w:r>
          </w:p>
        </w:tc>
      </w:tr>
    </w:tbl>
    <w:p w:rsidR="004D44D5" w:rsidRDefault="004D44D5" w:rsidP="007A48CA"/>
    <w:p w:rsidR="005A26EC" w:rsidRDefault="00EE6863" w:rsidP="00EE6863">
      <w:pPr>
        <w:pStyle w:val="Heading3"/>
        <w:pageBreakBefore/>
      </w:pPr>
      <w:r>
        <w:lastRenderedPageBreak/>
        <w:t>Index</w:t>
      </w:r>
    </w:p>
    <w:p w:rsidR="00F152F5" w:rsidRDefault="001962D1" w:rsidP="001962D1">
      <w:pPr>
        <w:rPr>
          <w:noProof/>
        </w:rPr>
        <w:sectPr w:rsidR="00F152F5" w:rsidSect="00F152F5">
          <w:type w:val="oddPage"/>
          <w:pgSz w:w="9979" w:h="14170" w:code="243"/>
          <w:pgMar w:top="1440" w:right="850" w:bottom="1138" w:left="1411" w:header="576" w:footer="576" w:gutter="0"/>
          <w:cols w:space="708"/>
          <w:docGrid w:linePitch="360"/>
        </w:sectPr>
      </w:pPr>
      <w:r>
        <w:fldChar w:fldCharType="begin"/>
      </w:r>
      <w:r>
        <w:instrText xml:space="preserve"> INDEX </w:instrText>
      </w:r>
      <w:r w:rsidR="00F36F8C">
        <w:rPr>
          <w:rFonts w:ascii="Segoe UI" w:hAnsi="Segoe UI" w:cs="Segoe UI"/>
          <w:color w:val="2F2F2F"/>
          <w:shd w:val="clear" w:color="auto" w:fill="FFFFFF"/>
        </w:rPr>
        <w:instrText xml:space="preserve">\h "A" </w:instrText>
      </w:r>
      <w:r>
        <w:instrText xml:space="preserve">\c "1" \z "3081" </w:instrText>
      </w:r>
      <w:r>
        <w:fldChar w:fldCharType="separate"/>
      </w:r>
    </w:p>
    <w:p w:rsidR="00F152F5" w:rsidRDefault="00F152F5">
      <w:pPr>
        <w:pStyle w:val="IndexHeading"/>
        <w:keepNext/>
        <w:tabs>
          <w:tab w:val="right" w:leader="dot" w:pos="7708"/>
        </w:tabs>
        <w:rPr>
          <w:rFonts w:asciiTheme="minorHAnsi" w:eastAsiaTheme="minorEastAsia" w:hAnsiTheme="minorHAnsi" w:cstheme="minorBidi"/>
          <w:b w:val="0"/>
          <w:bCs w:val="0"/>
          <w:noProof/>
        </w:rPr>
      </w:pPr>
      <w:r>
        <w:rPr>
          <w:noProof/>
        </w:rPr>
        <w:lastRenderedPageBreak/>
        <w:t>A</w:t>
      </w:r>
    </w:p>
    <w:p w:rsidR="00F152F5" w:rsidRDefault="00F152F5">
      <w:pPr>
        <w:pStyle w:val="Index1"/>
        <w:rPr>
          <w:noProof/>
        </w:rPr>
      </w:pPr>
      <w:r>
        <w:rPr>
          <w:noProof/>
        </w:rPr>
        <w:t>access and equity, 43</w:t>
      </w:r>
    </w:p>
    <w:p w:rsidR="00F152F5" w:rsidRDefault="00F152F5">
      <w:pPr>
        <w:pStyle w:val="Index1"/>
        <w:rPr>
          <w:noProof/>
        </w:rPr>
      </w:pPr>
      <w:r>
        <w:rPr>
          <w:noProof/>
        </w:rPr>
        <w:t>adjournments, 30–33</w:t>
      </w:r>
    </w:p>
    <w:p w:rsidR="00F152F5" w:rsidRDefault="00F152F5">
      <w:pPr>
        <w:pStyle w:val="Index1"/>
        <w:rPr>
          <w:noProof/>
        </w:rPr>
      </w:pPr>
      <w:r>
        <w:rPr>
          <w:noProof/>
        </w:rPr>
        <w:t>Administrative Appeals Tribunal, 27–28, 56</w:t>
      </w:r>
    </w:p>
    <w:p w:rsidR="00F152F5" w:rsidRDefault="00F152F5">
      <w:pPr>
        <w:pStyle w:val="Index1"/>
        <w:rPr>
          <w:noProof/>
        </w:rPr>
      </w:pPr>
      <w:r>
        <w:rPr>
          <w:noProof/>
        </w:rPr>
        <w:t>alternative dispute resolution, 2, 6, 11, 18, 21, 34, 41, 67, 68</w:t>
      </w:r>
    </w:p>
    <w:p w:rsidR="00F152F5" w:rsidRDefault="00F152F5">
      <w:pPr>
        <w:pStyle w:val="Index1"/>
        <w:rPr>
          <w:noProof/>
        </w:rPr>
      </w:pPr>
      <w:r>
        <w:rPr>
          <w:noProof/>
        </w:rPr>
        <w:t>applications</w:t>
      </w:r>
    </w:p>
    <w:p w:rsidR="00F152F5" w:rsidRDefault="00F152F5">
      <w:pPr>
        <w:pStyle w:val="Index2"/>
        <w:rPr>
          <w:noProof/>
        </w:rPr>
      </w:pPr>
      <w:r>
        <w:rPr>
          <w:noProof/>
        </w:rPr>
        <w:t>dismissed, 33–35</w:t>
      </w:r>
    </w:p>
    <w:p w:rsidR="00F152F5" w:rsidRDefault="00F152F5">
      <w:pPr>
        <w:pStyle w:val="Index2"/>
        <w:rPr>
          <w:noProof/>
        </w:rPr>
      </w:pPr>
      <w:r>
        <w:rPr>
          <w:noProof/>
        </w:rPr>
        <w:t>finalised, 2–3, 6, 11, 16, 18–28, 31–32, 34–36</w:t>
      </w:r>
    </w:p>
    <w:p w:rsidR="00F152F5" w:rsidRDefault="00F152F5">
      <w:pPr>
        <w:pStyle w:val="Index2"/>
        <w:rPr>
          <w:noProof/>
        </w:rPr>
      </w:pPr>
      <w:r>
        <w:rPr>
          <w:noProof/>
        </w:rPr>
        <w:t>outstanding, 11, 16, 21–23</w:t>
      </w:r>
    </w:p>
    <w:p w:rsidR="00F152F5" w:rsidRDefault="00F152F5">
      <w:pPr>
        <w:pStyle w:val="Index2"/>
        <w:rPr>
          <w:noProof/>
        </w:rPr>
      </w:pPr>
      <w:r>
        <w:rPr>
          <w:noProof/>
        </w:rPr>
        <w:t>withdrawn, 34–36</w:t>
      </w:r>
    </w:p>
    <w:p w:rsidR="00F152F5" w:rsidRDefault="00F152F5">
      <w:pPr>
        <w:pStyle w:val="Index1"/>
        <w:rPr>
          <w:noProof/>
        </w:rPr>
      </w:pPr>
      <w:r>
        <w:rPr>
          <w:noProof/>
        </w:rPr>
        <w:t>asset management, 52</w:t>
      </w:r>
    </w:p>
    <w:p w:rsidR="00F152F5" w:rsidRDefault="00F152F5">
      <w:pPr>
        <w:pStyle w:val="Index1"/>
        <w:rPr>
          <w:noProof/>
        </w:rPr>
      </w:pPr>
      <w:r>
        <w:rPr>
          <w:noProof/>
        </w:rPr>
        <w:t>attendant allowance, 7, 9</w:t>
      </w:r>
    </w:p>
    <w:p w:rsidR="00F152F5" w:rsidRDefault="00F152F5">
      <w:pPr>
        <w:pStyle w:val="IndexHeading"/>
        <w:keepNext/>
        <w:tabs>
          <w:tab w:val="right" w:leader="dot" w:pos="7708"/>
        </w:tabs>
        <w:rPr>
          <w:rFonts w:asciiTheme="minorHAnsi" w:eastAsiaTheme="minorEastAsia" w:hAnsiTheme="minorHAnsi" w:cstheme="minorBidi"/>
          <w:b w:val="0"/>
          <w:bCs w:val="0"/>
          <w:noProof/>
        </w:rPr>
      </w:pPr>
      <w:r>
        <w:rPr>
          <w:noProof/>
        </w:rPr>
        <w:t>C</w:t>
      </w:r>
    </w:p>
    <w:p w:rsidR="00F152F5" w:rsidRDefault="00F152F5">
      <w:pPr>
        <w:pStyle w:val="Index1"/>
        <w:rPr>
          <w:noProof/>
        </w:rPr>
      </w:pPr>
      <w:r>
        <w:rPr>
          <w:noProof/>
        </w:rPr>
        <w:t>case appraisal, 10, 21, 41</w:t>
      </w:r>
    </w:p>
    <w:p w:rsidR="00F152F5" w:rsidRDefault="00F152F5">
      <w:pPr>
        <w:pStyle w:val="Index1"/>
        <w:rPr>
          <w:noProof/>
        </w:rPr>
      </w:pPr>
      <w:r>
        <w:rPr>
          <w:noProof/>
        </w:rPr>
        <w:t>Certificate of Readiness, 29–31, 33</w:t>
      </w:r>
    </w:p>
    <w:p w:rsidR="00F152F5" w:rsidRDefault="00F152F5">
      <w:pPr>
        <w:pStyle w:val="Index1"/>
        <w:rPr>
          <w:noProof/>
        </w:rPr>
      </w:pPr>
      <w:r>
        <w:rPr>
          <w:noProof/>
        </w:rPr>
        <w:t>complaints, 40–41</w:t>
      </w:r>
    </w:p>
    <w:p w:rsidR="00F152F5" w:rsidRDefault="00F152F5">
      <w:pPr>
        <w:pStyle w:val="IndexHeading"/>
        <w:keepNext/>
        <w:tabs>
          <w:tab w:val="right" w:leader="dot" w:pos="7708"/>
        </w:tabs>
        <w:rPr>
          <w:rFonts w:asciiTheme="minorHAnsi" w:eastAsiaTheme="minorEastAsia" w:hAnsiTheme="minorHAnsi" w:cstheme="minorBidi"/>
          <w:b w:val="0"/>
          <w:bCs w:val="0"/>
          <w:noProof/>
        </w:rPr>
      </w:pPr>
      <w:r>
        <w:rPr>
          <w:noProof/>
        </w:rPr>
        <w:t>D</w:t>
      </w:r>
    </w:p>
    <w:p w:rsidR="00F152F5" w:rsidRDefault="00F152F5">
      <w:pPr>
        <w:pStyle w:val="Index1"/>
        <w:rPr>
          <w:noProof/>
        </w:rPr>
      </w:pPr>
      <w:r>
        <w:rPr>
          <w:noProof/>
        </w:rPr>
        <w:t>Directions Hearings, 33</w:t>
      </w:r>
    </w:p>
    <w:p w:rsidR="00F152F5" w:rsidRDefault="00F152F5">
      <w:pPr>
        <w:pStyle w:val="Index1"/>
        <w:rPr>
          <w:noProof/>
        </w:rPr>
      </w:pPr>
      <w:r>
        <w:rPr>
          <w:noProof/>
        </w:rPr>
        <w:t>Disability Strategy, 53</w:t>
      </w:r>
    </w:p>
    <w:p w:rsidR="00F152F5" w:rsidRDefault="00F152F5">
      <w:pPr>
        <w:pStyle w:val="IndexHeading"/>
        <w:keepNext/>
        <w:tabs>
          <w:tab w:val="right" w:leader="dot" w:pos="7708"/>
        </w:tabs>
        <w:rPr>
          <w:rFonts w:asciiTheme="minorHAnsi" w:eastAsiaTheme="minorEastAsia" w:hAnsiTheme="minorHAnsi" w:cstheme="minorBidi"/>
          <w:b w:val="0"/>
          <w:bCs w:val="0"/>
          <w:noProof/>
        </w:rPr>
      </w:pPr>
      <w:r>
        <w:rPr>
          <w:noProof/>
        </w:rPr>
        <w:t>E</w:t>
      </w:r>
    </w:p>
    <w:p w:rsidR="00F152F5" w:rsidRDefault="00F152F5">
      <w:pPr>
        <w:pStyle w:val="Index1"/>
        <w:rPr>
          <w:noProof/>
        </w:rPr>
      </w:pPr>
      <w:r>
        <w:rPr>
          <w:noProof/>
        </w:rPr>
        <w:t>expenditure, 53–54</w:t>
      </w:r>
    </w:p>
    <w:p w:rsidR="00F152F5" w:rsidRDefault="00F152F5">
      <w:pPr>
        <w:pStyle w:val="IndexHeading"/>
        <w:keepNext/>
        <w:tabs>
          <w:tab w:val="right" w:leader="dot" w:pos="7708"/>
        </w:tabs>
        <w:rPr>
          <w:rFonts w:asciiTheme="minorHAnsi" w:eastAsiaTheme="minorEastAsia" w:hAnsiTheme="minorHAnsi" w:cstheme="minorBidi"/>
          <w:b w:val="0"/>
          <w:bCs w:val="0"/>
          <w:noProof/>
        </w:rPr>
      </w:pPr>
      <w:r>
        <w:rPr>
          <w:noProof/>
        </w:rPr>
        <w:t>F</w:t>
      </w:r>
    </w:p>
    <w:p w:rsidR="00F152F5" w:rsidRDefault="00F152F5">
      <w:pPr>
        <w:pStyle w:val="Index1"/>
        <w:rPr>
          <w:noProof/>
        </w:rPr>
      </w:pPr>
      <w:r>
        <w:rPr>
          <w:noProof/>
        </w:rPr>
        <w:t>Federal Court, 56–57</w:t>
      </w:r>
    </w:p>
    <w:p w:rsidR="00F152F5" w:rsidRDefault="00F152F5">
      <w:pPr>
        <w:pStyle w:val="Index1"/>
        <w:rPr>
          <w:noProof/>
        </w:rPr>
      </w:pPr>
      <w:r>
        <w:rPr>
          <w:noProof/>
        </w:rPr>
        <w:t>Federal Magistrates Court, 56</w:t>
      </w:r>
    </w:p>
    <w:p w:rsidR="00F152F5" w:rsidRDefault="00F152F5">
      <w:pPr>
        <w:pStyle w:val="Index1"/>
        <w:rPr>
          <w:noProof/>
        </w:rPr>
      </w:pPr>
      <w:r>
        <w:rPr>
          <w:noProof/>
        </w:rPr>
        <w:t>fraud control, 55</w:t>
      </w:r>
    </w:p>
    <w:p w:rsidR="00F152F5" w:rsidRDefault="00F152F5">
      <w:pPr>
        <w:pStyle w:val="Index1"/>
        <w:rPr>
          <w:noProof/>
        </w:rPr>
      </w:pPr>
      <w:r>
        <w:rPr>
          <w:noProof/>
        </w:rPr>
        <w:t>further evidence</w:t>
      </w:r>
    </w:p>
    <w:p w:rsidR="00F152F5" w:rsidRDefault="00F152F5">
      <w:pPr>
        <w:pStyle w:val="Index2"/>
        <w:rPr>
          <w:noProof/>
        </w:rPr>
      </w:pPr>
      <w:r>
        <w:rPr>
          <w:noProof/>
        </w:rPr>
        <w:t>subsection 148(6A) request, 68, 69</w:t>
      </w:r>
    </w:p>
    <w:p w:rsidR="00F152F5" w:rsidRDefault="00F152F5">
      <w:pPr>
        <w:pStyle w:val="IndexHeading"/>
        <w:keepNext/>
        <w:tabs>
          <w:tab w:val="right" w:leader="dot" w:pos="7708"/>
        </w:tabs>
        <w:rPr>
          <w:rFonts w:asciiTheme="minorHAnsi" w:eastAsiaTheme="minorEastAsia" w:hAnsiTheme="minorHAnsi" w:cstheme="minorBidi"/>
          <w:b w:val="0"/>
          <w:bCs w:val="0"/>
          <w:noProof/>
        </w:rPr>
      </w:pPr>
      <w:r>
        <w:rPr>
          <w:noProof/>
        </w:rPr>
        <w:t>I</w:t>
      </w:r>
    </w:p>
    <w:p w:rsidR="00F152F5" w:rsidRDefault="00F152F5">
      <w:pPr>
        <w:pStyle w:val="Index1"/>
        <w:rPr>
          <w:noProof/>
        </w:rPr>
      </w:pPr>
      <w:r>
        <w:rPr>
          <w:noProof/>
        </w:rPr>
        <w:t>incapacity for service, 7–9</w:t>
      </w:r>
    </w:p>
    <w:p w:rsidR="00F152F5" w:rsidRDefault="00F152F5">
      <w:pPr>
        <w:pStyle w:val="Index1"/>
        <w:rPr>
          <w:noProof/>
        </w:rPr>
      </w:pPr>
      <w:r>
        <w:rPr>
          <w:noProof/>
        </w:rPr>
        <w:t>incapacity for work, 7–9</w:t>
      </w:r>
    </w:p>
    <w:p w:rsidR="00F152F5" w:rsidRDefault="00F152F5">
      <w:pPr>
        <w:pStyle w:val="Index1"/>
        <w:rPr>
          <w:noProof/>
        </w:rPr>
      </w:pPr>
      <w:r>
        <w:rPr>
          <w:noProof/>
        </w:rPr>
        <w:t>Internet, iii, 41, 42, 57, 71</w:t>
      </w:r>
    </w:p>
    <w:p w:rsidR="00F152F5" w:rsidRDefault="00F152F5">
      <w:pPr>
        <w:pStyle w:val="Index1"/>
        <w:rPr>
          <w:noProof/>
        </w:rPr>
      </w:pPr>
      <w:r>
        <w:rPr>
          <w:noProof/>
        </w:rPr>
        <w:t>intranet, 43</w:t>
      </w:r>
    </w:p>
    <w:p w:rsidR="00F152F5" w:rsidRDefault="00F152F5">
      <w:pPr>
        <w:pStyle w:val="IndexHeading"/>
        <w:keepNext/>
        <w:tabs>
          <w:tab w:val="right" w:leader="dot" w:pos="7708"/>
        </w:tabs>
        <w:rPr>
          <w:rFonts w:asciiTheme="minorHAnsi" w:eastAsiaTheme="minorEastAsia" w:hAnsiTheme="minorHAnsi" w:cstheme="minorBidi"/>
          <w:b w:val="0"/>
          <w:bCs w:val="0"/>
          <w:noProof/>
        </w:rPr>
      </w:pPr>
      <w:r>
        <w:rPr>
          <w:noProof/>
        </w:rPr>
        <w:lastRenderedPageBreak/>
        <w:t>J</w:t>
      </w:r>
    </w:p>
    <w:p w:rsidR="00F152F5" w:rsidRDefault="00F152F5">
      <w:pPr>
        <w:pStyle w:val="Index1"/>
        <w:rPr>
          <w:noProof/>
        </w:rPr>
      </w:pPr>
      <w:r>
        <w:rPr>
          <w:noProof/>
        </w:rPr>
        <w:t>jurisdiction, 6, 7, 18, 42, 56, 58, 65, 75</w:t>
      </w:r>
    </w:p>
    <w:p w:rsidR="00F152F5" w:rsidRDefault="00F152F5">
      <w:pPr>
        <w:pStyle w:val="IndexHeading"/>
        <w:keepNext/>
        <w:tabs>
          <w:tab w:val="right" w:leader="dot" w:pos="7708"/>
        </w:tabs>
        <w:rPr>
          <w:rFonts w:asciiTheme="minorHAnsi" w:eastAsiaTheme="minorEastAsia" w:hAnsiTheme="minorHAnsi" w:cstheme="minorBidi"/>
          <w:b w:val="0"/>
          <w:bCs w:val="0"/>
          <w:noProof/>
        </w:rPr>
      </w:pPr>
      <w:r>
        <w:rPr>
          <w:noProof/>
        </w:rPr>
        <w:t>L</w:t>
      </w:r>
    </w:p>
    <w:p w:rsidR="00F152F5" w:rsidRDefault="00F152F5">
      <w:pPr>
        <w:pStyle w:val="Index1"/>
        <w:rPr>
          <w:noProof/>
        </w:rPr>
      </w:pPr>
      <w:r>
        <w:rPr>
          <w:noProof/>
        </w:rPr>
        <w:t>liability, 7–9, 24–27, 75, 78</w:t>
      </w:r>
    </w:p>
    <w:p w:rsidR="00F152F5" w:rsidRDefault="00F152F5">
      <w:pPr>
        <w:pStyle w:val="IndexHeading"/>
        <w:keepNext/>
        <w:tabs>
          <w:tab w:val="right" w:leader="dot" w:pos="7708"/>
        </w:tabs>
        <w:rPr>
          <w:rFonts w:asciiTheme="minorHAnsi" w:eastAsiaTheme="minorEastAsia" w:hAnsiTheme="minorHAnsi" w:cstheme="minorBidi"/>
          <w:b w:val="0"/>
          <w:bCs w:val="0"/>
          <w:noProof/>
        </w:rPr>
      </w:pPr>
      <w:r>
        <w:rPr>
          <w:noProof/>
        </w:rPr>
        <w:t>M</w:t>
      </w:r>
    </w:p>
    <w:p w:rsidR="00F152F5" w:rsidRDefault="00F152F5">
      <w:pPr>
        <w:pStyle w:val="Index1"/>
        <w:rPr>
          <w:noProof/>
        </w:rPr>
      </w:pPr>
      <w:r>
        <w:rPr>
          <w:noProof/>
        </w:rPr>
        <w:t>matters decided, 6, 16, 18, 23, 24, 28, 56–57</w:t>
      </w:r>
    </w:p>
    <w:p w:rsidR="00F152F5" w:rsidRDefault="00F152F5">
      <w:pPr>
        <w:pStyle w:val="Index1"/>
        <w:rPr>
          <w:noProof/>
        </w:rPr>
      </w:pPr>
      <w:r>
        <w:rPr>
          <w:noProof/>
        </w:rPr>
        <w:t>membership, 12, 48–50, 61–66</w:t>
      </w:r>
    </w:p>
    <w:p w:rsidR="00F152F5" w:rsidRDefault="00F152F5">
      <w:pPr>
        <w:pStyle w:val="Index1"/>
        <w:rPr>
          <w:noProof/>
        </w:rPr>
      </w:pPr>
      <w:r>
        <w:rPr>
          <w:noProof/>
        </w:rPr>
        <w:t>Minister for Veterans’ Affairs, 6</w:t>
      </w:r>
    </w:p>
    <w:p w:rsidR="00F152F5" w:rsidRDefault="00F152F5">
      <w:pPr>
        <w:pStyle w:val="IndexHeading"/>
        <w:keepNext/>
        <w:tabs>
          <w:tab w:val="right" w:leader="dot" w:pos="7708"/>
        </w:tabs>
        <w:rPr>
          <w:rFonts w:asciiTheme="minorHAnsi" w:eastAsiaTheme="minorEastAsia" w:hAnsiTheme="minorHAnsi" w:cstheme="minorBidi"/>
          <w:b w:val="0"/>
          <w:bCs w:val="0"/>
          <w:noProof/>
        </w:rPr>
      </w:pPr>
      <w:r>
        <w:rPr>
          <w:noProof/>
        </w:rPr>
        <w:t>N</w:t>
      </w:r>
    </w:p>
    <w:p w:rsidR="00F152F5" w:rsidRDefault="00F152F5">
      <w:pPr>
        <w:pStyle w:val="Index1"/>
        <w:rPr>
          <w:noProof/>
        </w:rPr>
      </w:pPr>
      <w:r>
        <w:rPr>
          <w:noProof/>
        </w:rPr>
        <w:t>National Registrar, iii, 13, 41, 52, 67, 68, 69, 70</w:t>
      </w:r>
    </w:p>
    <w:p w:rsidR="00F152F5" w:rsidRDefault="00F152F5">
      <w:pPr>
        <w:pStyle w:val="IndexHeading"/>
        <w:keepNext/>
        <w:tabs>
          <w:tab w:val="right" w:leader="dot" w:pos="7708"/>
        </w:tabs>
        <w:rPr>
          <w:rFonts w:asciiTheme="minorHAnsi" w:eastAsiaTheme="minorEastAsia" w:hAnsiTheme="minorHAnsi" w:cstheme="minorBidi"/>
          <w:b w:val="0"/>
          <w:bCs w:val="0"/>
          <w:noProof/>
        </w:rPr>
      </w:pPr>
      <w:r>
        <w:rPr>
          <w:noProof/>
        </w:rPr>
        <w:t>O</w:t>
      </w:r>
    </w:p>
    <w:p w:rsidR="00F152F5" w:rsidRDefault="00F152F5">
      <w:pPr>
        <w:pStyle w:val="Index1"/>
        <w:rPr>
          <w:noProof/>
        </w:rPr>
      </w:pPr>
      <w:r>
        <w:rPr>
          <w:noProof/>
        </w:rPr>
        <w:t>Ombudsman, 58</w:t>
      </w:r>
    </w:p>
    <w:p w:rsidR="00F152F5" w:rsidRDefault="00F152F5">
      <w:pPr>
        <w:pStyle w:val="Index1"/>
        <w:rPr>
          <w:noProof/>
        </w:rPr>
      </w:pPr>
      <w:r>
        <w:rPr>
          <w:noProof/>
        </w:rPr>
        <w:t>Operations Manual, 42, 70</w:t>
      </w:r>
    </w:p>
    <w:p w:rsidR="00F152F5" w:rsidRDefault="00F152F5">
      <w:pPr>
        <w:pStyle w:val="IndexHeading"/>
        <w:keepNext/>
        <w:tabs>
          <w:tab w:val="right" w:leader="dot" w:pos="7708"/>
        </w:tabs>
        <w:rPr>
          <w:rFonts w:asciiTheme="minorHAnsi" w:eastAsiaTheme="minorEastAsia" w:hAnsiTheme="minorHAnsi" w:cstheme="minorBidi"/>
          <w:b w:val="0"/>
          <w:bCs w:val="0"/>
          <w:noProof/>
        </w:rPr>
      </w:pPr>
      <w:r>
        <w:rPr>
          <w:noProof/>
        </w:rPr>
        <w:t>P</w:t>
      </w:r>
    </w:p>
    <w:p w:rsidR="00F152F5" w:rsidRDefault="00F152F5">
      <w:pPr>
        <w:pStyle w:val="Index1"/>
        <w:rPr>
          <w:noProof/>
        </w:rPr>
      </w:pPr>
      <w:r>
        <w:rPr>
          <w:noProof/>
        </w:rPr>
        <w:t>permanent impairment, 7–9, 24</w:t>
      </w:r>
    </w:p>
    <w:p w:rsidR="00F152F5" w:rsidRDefault="00F152F5">
      <w:pPr>
        <w:pStyle w:val="Index1"/>
        <w:rPr>
          <w:noProof/>
        </w:rPr>
      </w:pPr>
      <w:r>
        <w:rPr>
          <w:noProof/>
        </w:rPr>
        <w:t>Portfolio Additional Estimates Statement, 53</w:t>
      </w:r>
    </w:p>
    <w:p w:rsidR="00F152F5" w:rsidRDefault="00F152F5">
      <w:pPr>
        <w:pStyle w:val="Index1"/>
        <w:rPr>
          <w:noProof/>
        </w:rPr>
      </w:pPr>
      <w:r>
        <w:rPr>
          <w:noProof/>
        </w:rPr>
        <w:t>Portfolio Budget Statement, 53</w:t>
      </w:r>
    </w:p>
    <w:p w:rsidR="00F152F5" w:rsidRDefault="00F152F5">
      <w:pPr>
        <w:pStyle w:val="Index1"/>
        <w:rPr>
          <w:noProof/>
        </w:rPr>
      </w:pPr>
      <w:r>
        <w:rPr>
          <w:noProof/>
        </w:rPr>
        <w:t>powers, 6, 7, 30, 67–69, 74</w:t>
      </w:r>
    </w:p>
    <w:p w:rsidR="00F152F5" w:rsidRDefault="00F152F5">
      <w:pPr>
        <w:pStyle w:val="Index1"/>
        <w:rPr>
          <w:noProof/>
        </w:rPr>
      </w:pPr>
      <w:r>
        <w:rPr>
          <w:noProof/>
        </w:rPr>
        <w:t>Practice Directions, 41</w:t>
      </w:r>
    </w:p>
    <w:p w:rsidR="00F152F5" w:rsidRDefault="00F152F5">
      <w:pPr>
        <w:pStyle w:val="Index1"/>
        <w:rPr>
          <w:noProof/>
        </w:rPr>
      </w:pPr>
      <w:r>
        <w:rPr>
          <w:noProof/>
        </w:rPr>
        <w:t>Practice Notes, 42, 57</w:t>
      </w:r>
    </w:p>
    <w:p w:rsidR="00F152F5" w:rsidRDefault="00F152F5">
      <w:pPr>
        <w:pStyle w:val="Index1"/>
        <w:rPr>
          <w:noProof/>
        </w:rPr>
      </w:pPr>
      <w:r>
        <w:rPr>
          <w:noProof/>
        </w:rPr>
        <w:t>Principal Member, iii, 2–3, 13, 31, 33, 41, 48–50, 67–69, 70, 75, 76</w:t>
      </w:r>
    </w:p>
    <w:p w:rsidR="00F152F5" w:rsidRDefault="00F152F5">
      <w:pPr>
        <w:pStyle w:val="Index1"/>
        <w:rPr>
          <w:noProof/>
        </w:rPr>
      </w:pPr>
      <w:r>
        <w:rPr>
          <w:noProof/>
        </w:rPr>
        <w:t>privacy, 40, 58</w:t>
      </w:r>
    </w:p>
    <w:p w:rsidR="00F152F5" w:rsidRDefault="00F152F5">
      <w:pPr>
        <w:pStyle w:val="Index1"/>
        <w:rPr>
          <w:noProof/>
        </w:rPr>
      </w:pPr>
      <w:r>
        <w:rPr>
          <w:noProof/>
        </w:rPr>
        <w:t>procedures, 6, 33, 41, 42, 52, 67, 70, 74</w:t>
      </w:r>
    </w:p>
    <w:p w:rsidR="00F152F5" w:rsidRDefault="00F152F5">
      <w:pPr>
        <w:pStyle w:val="Index1"/>
        <w:rPr>
          <w:noProof/>
        </w:rPr>
      </w:pPr>
      <w:r>
        <w:rPr>
          <w:noProof/>
        </w:rPr>
        <w:t>processing time, 29, 32</w:t>
      </w:r>
    </w:p>
    <w:p w:rsidR="00F152F5" w:rsidRDefault="00F152F5">
      <w:pPr>
        <w:pStyle w:val="Index1"/>
        <w:rPr>
          <w:noProof/>
        </w:rPr>
      </w:pPr>
      <w:r>
        <w:rPr>
          <w:noProof/>
        </w:rPr>
        <w:t>publications, 42, 57, 66, 70</w:t>
      </w:r>
    </w:p>
    <w:p w:rsidR="00F152F5" w:rsidRDefault="00F152F5">
      <w:pPr>
        <w:pStyle w:val="IndexHeading"/>
        <w:keepNext/>
        <w:tabs>
          <w:tab w:val="right" w:leader="dot" w:pos="7708"/>
        </w:tabs>
        <w:rPr>
          <w:rFonts w:asciiTheme="minorHAnsi" w:eastAsiaTheme="minorEastAsia" w:hAnsiTheme="minorHAnsi" w:cstheme="minorBidi"/>
          <w:b w:val="0"/>
          <w:bCs w:val="0"/>
          <w:noProof/>
        </w:rPr>
      </w:pPr>
      <w:r>
        <w:rPr>
          <w:noProof/>
        </w:rPr>
        <w:t>R</w:t>
      </w:r>
    </w:p>
    <w:p w:rsidR="00F152F5" w:rsidRDefault="00F152F5">
      <w:pPr>
        <w:pStyle w:val="Index1"/>
        <w:rPr>
          <w:noProof/>
        </w:rPr>
      </w:pPr>
      <w:r>
        <w:rPr>
          <w:noProof/>
        </w:rPr>
        <w:t>reasons, 2, 10, 24, 29, 30, 31, 34, 57, 67, 71</w:t>
      </w:r>
    </w:p>
    <w:p w:rsidR="00F152F5" w:rsidRDefault="00F152F5">
      <w:pPr>
        <w:pStyle w:val="Index1"/>
        <w:rPr>
          <w:noProof/>
        </w:rPr>
      </w:pPr>
      <w:r>
        <w:rPr>
          <w:noProof/>
        </w:rPr>
        <w:t>regional hearings, 39, 40</w:t>
      </w:r>
    </w:p>
    <w:p w:rsidR="00F152F5" w:rsidRDefault="00F152F5">
      <w:pPr>
        <w:pStyle w:val="Index1"/>
        <w:rPr>
          <w:noProof/>
        </w:rPr>
      </w:pPr>
      <w:r>
        <w:rPr>
          <w:noProof/>
        </w:rPr>
        <w:t>Registrars, iii, 13, 29, 30, 52, 67, 68, 70, 76</w:t>
      </w:r>
    </w:p>
    <w:p w:rsidR="00F152F5" w:rsidRDefault="00F152F5">
      <w:pPr>
        <w:pStyle w:val="Index1"/>
        <w:rPr>
          <w:noProof/>
        </w:rPr>
      </w:pPr>
      <w:r>
        <w:rPr>
          <w:noProof/>
        </w:rPr>
        <w:t>rehabilitation, 6, 7–9, 10, 16, 24, 57</w:t>
      </w:r>
    </w:p>
    <w:p w:rsidR="00F152F5" w:rsidRDefault="00F152F5">
      <w:pPr>
        <w:pStyle w:val="Index1"/>
        <w:rPr>
          <w:noProof/>
        </w:rPr>
      </w:pPr>
      <w:r>
        <w:rPr>
          <w:noProof/>
        </w:rPr>
        <w:t>Repatriation Commission, 6, 7, 24, 34, 40, 69, 76</w:t>
      </w:r>
    </w:p>
    <w:p w:rsidR="00F152F5" w:rsidRDefault="00F152F5">
      <w:pPr>
        <w:pStyle w:val="Index1"/>
        <w:rPr>
          <w:noProof/>
        </w:rPr>
      </w:pPr>
      <w:r>
        <w:rPr>
          <w:noProof/>
        </w:rPr>
        <w:t>Repatriation Medical Authority, 77</w:t>
      </w:r>
    </w:p>
    <w:p w:rsidR="00F152F5" w:rsidRDefault="00F152F5">
      <w:pPr>
        <w:pStyle w:val="Index1"/>
        <w:rPr>
          <w:noProof/>
        </w:rPr>
      </w:pPr>
      <w:r>
        <w:rPr>
          <w:noProof/>
        </w:rPr>
        <w:t>representatives, 24, 30, 33, 37–39, 39, 41, 42, 43, 68, 75, 77</w:t>
      </w:r>
    </w:p>
    <w:p w:rsidR="00F152F5" w:rsidRDefault="00F152F5">
      <w:pPr>
        <w:pStyle w:val="Index1"/>
        <w:rPr>
          <w:noProof/>
        </w:rPr>
      </w:pPr>
      <w:r>
        <w:rPr>
          <w:noProof/>
        </w:rPr>
        <w:lastRenderedPageBreak/>
        <w:t>risk management, 52</w:t>
      </w:r>
    </w:p>
    <w:p w:rsidR="00F152F5" w:rsidRDefault="00F152F5">
      <w:pPr>
        <w:pStyle w:val="IndexHeading"/>
        <w:keepNext/>
        <w:tabs>
          <w:tab w:val="right" w:leader="dot" w:pos="7708"/>
        </w:tabs>
        <w:rPr>
          <w:rFonts w:asciiTheme="minorHAnsi" w:eastAsiaTheme="minorEastAsia" w:hAnsiTheme="minorHAnsi" w:cstheme="minorBidi"/>
          <w:b w:val="0"/>
          <w:bCs w:val="0"/>
          <w:noProof/>
        </w:rPr>
      </w:pPr>
      <w:r>
        <w:rPr>
          <w:noProof/>
        </w:rPr>
        <w:t>S</w:t>
      </w:r>
    </w:p>
    <w:p w:rsidR="00F152F5" w:rsidRDefault="00F152F5">
      <w:pPr>
        <w:pStyle w:val="Index1"/>
        <w:rPr>
          <w:noProof/>
        </w:rPr>
      </w:pPr>
      <w:r>
        <w:rPr>
          <w:noProof/>
        </w:rPr>
        <w:t>section 137 report, 30, 41</w:t>
      </w:r>
    </w:p>
    <w:p w:rsidR="00F152F5" w:rsidRDefault="00F152F5">
      <w:pPr>
        <w:pStyle w:val="Index1"/>
        <w:rPr>
          <w:noProof/>
        </w:rPr>
      </w:pPr>
      <w:r>
        <w:rPr>
          <w:noProof/>
        </w:rPr>
        <w:t>section 148(6A) request, 68, 69</w:t>
      </w:r>
    </w:p>
    <w:p w:rsidR="00F152F5" w:rsidRDefault="00F152F5">
      <w:pPr>
        <w:pStyle w:val="Index1"/>
        <w:rPr>
          <w:noProof/>
        </w:rPr>
      </w:pPr>
      <w:r>
        <w:rPr>
          <w:noProof/>
        </w:rPr>
        <w:t>section 31 review, 24</w:t>
      </w:r>
    </w:p>
    <w:p w:rsidR="00F152F5" w:rsidRDefault="00F152F5">
      <w:pPr>
        <w:pStyle w:val="Index1"/>
        <w:rPr>
          <w:noProof/>
        </w:rPr>
      </w:pPr>
      <w:r>
        <w:rPr>
          <w:noProof/>
        </w:rPr>
        <w:t>section 347 reconsideration, 24, 34, 76</w:t>
      </w:r>
    </w:p>
    <w:p w:rsidR="00F152F5" w:rsidRDefault="00F152F5">
      <w:pPr>
        <w:pStyle w:val="Index1"/>
        <w:rPr>
          <w:noProof/>
        </w:rPr>
      </w:pPr>
      <w:r>
        <w:rPr>
          <w:noProof/>
        </w:rPr>
        <w:t>service chief, 40, 69</w:t>
      </w:r>
    </w:p>
    <w:p w:rsidR="00F152F5" w:rsidRDefault="00F152F5">
      <w:pPr>
        <w:pStyle w:val="Index1"/>
        <w:rPr>
          <w:noProof/>
        </w:rPr>
      </w:pPr>
      <w:r>
        <w:rPr>
          <w:noProof/>
        </w:rPr>
        <w:t>special rate, 8, 77</w:t>
      </w:r>
    </w:p>
    <w:p w:rsidR="00F152F5" w:rsidRDefault="00F152F5">
      <w:pPr>
        <w:pStyle w:val="Index1"/>
        <w:rPr>
          <w:noProof/>
        </w:rPr>
      </w:pPr>
      <w:r>
        <w:rPr>
          <w:noProof/>
        </w:rPr>
        <w:t>staff, 10, 11, 13, 46–48, 72, 74, 76</w:t>
      </w:r>
    </w:p>
    <w:p w:rsidR="00F152F5" w:rsidRDefault="00F152F5">
      <w:pPr>
        <w:pStyle w:val="Index1"/>
        <w:rPr>
          <w:noProof/>
        </w:rPr>
      </w:pPr>
      <w:r>
        <w:rPr>
          <w:noProof/>
        </w:rPr>
        <w:t>Statements of Principles, 24, 42, 75</w:t>
      </w:r>
    </w:p>
    <w:p w:rsidR="00F152F5" w:rsidRDefault="00F152F5">
      <w:pPr>
        <w:pStyle w:val="IndexHeading"/>
        <w:keepNext/>
        <w:tabs>
          <w:tab w:val="right" w:leader="dot" w:pos="7708"/>
        </w:tabs>
        <w:rPr>
          <w:rFonts w:asciiTheme="minorHAnsi" w:eastAsiaTheme="minorEastAsia" w:hAnsiTheme="minorHAnsi" w:cstheme="minorBidi"/>
          <w:b w:val="0"/>
          <w:bCs w:val="0"/>
          <w:noProof/>
        </w:rPr>
      </w:pPr>
      <w:r>
        <w:rPr>
          <w:noProof/>
        </w:rPr>
        <w:t>T</w:t>
      </w:r>
    </w:p>
    <w:p w:rsidR="00F152F5" w:rsidRDefault="00F152F5">
      <w:pPr>
        <w:pStyle w:val="Index1"/>
        <w:rPr>
          <w:noProof/>
        </w:rPr>
      </w:pPr>
      <w:r>
        <w:rPr>
          <w:noProof/>
        </w:rPr>
        <w:t>treatment, 7–9, 24</w:t>
      </w:r>
    </w:p>
    <w:p w:rsidR="00F152F5" w:rsidRDefault="00F152F5">
      <w:pPr>
        <w:pStyle w:val="IndexHeading"/>
        <w:keepNext/>
        <w:tabs>
          <w:tab w:val="right" w:leader="dot" w:pos="7708"/>
        </w:tabs>
        <w:rPr>
          <w:rFonts w:asciiTheme="minorHAnsi" w:eastAsiaTheme="minorEastAsia" w:hAnsiTheme="minorHAnsi" w:cstheme="minorBidi"/>
          <w:b w:val="0"/>
          <w:bCs w:val="0"/>
          <w:noProof/>
        </w:rPr>
      </w:pPr>
      <w:r>
        <w:rPr>
          <w:noProof/>
        </w:rPr>
        <w:t>V</w:t>
      </w:r>
    </w:p>
    <w:p w:rsidR="00F152F5" w:rsidRDefault="00F152F5">
      <w:pPr>
        <w:pStyle w:val="Index1"/>
        <w:rPr>
          <w:noProof/>
        </w:rPr>
      </w:pPr>
      <w:r>
        <w:rPr>
          <w:noProof/>
        </w:rPr>
        <w:t>Verbosity, 42, 57</w:t>
      </w:r>
    </w:p>
    <w:p w:rsidR="00F152F5" w:rsidRDefault="00F152F5">
      <w:pPr>
        <w:pStyle w:val="Index1"/>
        <w:rPr>
          <w:noProof/>
        </w:rPr>
      </w:pPr>
      <w:r>
        <w:rPr>
          <w:noProof/>
        </w:rPr>
        <w:t>video hearings, 39, 41, 78</w:t>
      </w:r>
    </w:p>
    <w:p w:rsidR="00F152F5" w:rsidRDefault="00F152F5">
      <w:pPr>
        <w:pStyle w:val="Index1"/>
        <w:rPr>
          <w:noProof/>
        </w:rPr>
      </w:pPr>
      <w:r>
        <w:rPr>
          <w:noProof/>
        </w:rPr>
        <w:t>vrbSAM, 70</w:t>
      </w:r>
    </w:p>
    <w:p w:rsidR="00F152F5" w:rsidRDefault="00F152F5">
      <w:pPr>
        <w:pStyle w:val="IndexHeading"/>
        <w:keepNext/>
        <w:tabs>
          <w:tab w:val="right" w:leader="dot" w:pos="7708"/>
        </w:tabs>
        <w:rPr>
          <w:rFonts w:asciiTheme="minorHAnsi" w:eastAsiaTheme="minorEastAsia" w:hAnsiTheme="minorHAnsi" w:cstheme="minorBidi"/>
          <w:b w:val="0"/>
          <w:bCs w:val="0"/>
          <w:noProof/>
        </w:rPr>
      </w:pPr>
      <w:r>
        <w:rPr>
          <w:noProof/>
        </w:rPr>
        <w:t>W</w:t>
      </w:r>
    </w:p>
    <w:p w:rsidR="00F152F5" w:rsidRDefault="00F152F5">
      <w:pPr>
        <w:pStyle w:val="Index1"/>
        <w:rPr>
          <w:noProof/>
        </w:rPr>
      </w:pPr>
      <w:r>
        <w:rPr>
          <w:noProof/>
        </w:rPr>
        <w:t>war widow, 7</w:t>
      </w:r>
    </w:p>
    <w:p w:rsidR="00F152F5" w:rsidRDefault="00F152F5">
      <w:pPr>
        <w:pStyle w:val="Index1"/>
        <w:rPr>
          <w:noProof/>
        </w:rPr>
      </w:pPr>
      <w:r>
        <w:rPr>
          <w:noProof/>
        </w:rPr>
        <w:t>work health and safety, 53, 72</w:t>
      </w:r>
    </w:p>
    <w:p w:rsidR="00F152F5" w:rsidRDefault="00F152F5" w:rsidP="001962D1">
      <w:pPr>
        <w:rPr>
          <w:noProof/>
        </w:rPr>
        <w:sectPr w:rsidR="00F152F5" w:rsidSect="00F152F5">
          <w:type w:val="continuous"/>
          <w:pgSz w:w="9979" w:h="14170" w:code="243"/>
          <w:pgMar w:top="1440" w:right="850" w:bottom="1138" w:left="1411" w:header="576" w:footer="576" w:gutter="0"/>
          <w:cols w:space="720"/>
          <w:docGrid w:linePitch="360"/>
        </w:sectPr>
      </w:pPr>
    </w:p>
    <w:p w:rsidR="001962D1" w:rsidRDefault="001962D1" w:rsidP="001962D1">
      <w:r>
        <w:lastRenderedPageBreak/>
        <w:fldChar w:fldCharType="end"/>
      </w:r>
      <w:r w:rsidR="00AD6C55">
        <w:rPr>
          <w:noProof/>
          <w:lang w:eastAsia="en-AU"/>
        </w:rPr>
        <w:drawing>
          <wp:anchor distT="0" distB="0" distL="114300" distR="114300" simplePos="0" relativeHeight="251700224" behindDoc="0" locked="1" layoutInCell="0" allowOverlap="1">
            <wp:simplePos x="0" y="0"/>
            <wp:positionH relativeFrom="page">
              <wp:posOffset>0</wp:posOffset>
            </wp:positionH>
            <wp:positionV relativeFrom="page">
              <wp:posOffset>-5715</wp:posOffset>
            </wp:positionV>
            <wp:extent cx="6338570" cy="8999220"/>
            <wp:effectExtent l="0" t="0" r="5080" b="0"/>
            <wp:wrapTopAndBottom/>
            <wp:docPr id="51" name="Picture 51" descr="Back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P Plus\Docs\DVA\Veterans' Review Board\Annual Report 2017-18\sourcedocs\back cover.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38570" cy="899922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962D1" w:rsidSect="00F152F5">
      <w:type w:val="continuous"/>
      <w:pgSz w:w="9979" w:h="14170" w:code="243"/>
      <w:pgMar w:top="1440" w:right="850" w:bottom="1138" w:left="1411" w:header="576"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0A0C" w:rsidRDefault="009E0A0C" w:rsidP="00A80313">
      <w:pPr>
        <w:spacing w:after="0" w:line="240" w:lineRule="auto"/>
      </w:pPr>
      <w:r>
        <w:separator/>
      </w:r>
    </w:p>
  </w:endnote>
  <w:endnote w:type="continuationSeparator" w:id="0">
    <w:p w:rsidR="009E0A0C" w:rsidRDefault="009E0A0C" w:rsidP="00A803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Neue LT 35 Thin">
    <w:panose1 w:val="020B0403020202020204"/>
    <w:charset w:val="00"/>
    <w:family w:val="swiss"/>
    <w:pitch w:val="variable"/>
    <w:sig w:usb0="8000002F" w:usb1="4000004A"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 LT 45 Light">
    <w:panose1 w:val="020B0403020202020204"/>
    <w:charset w:val="00"/>
    <w:family w:val="swiss"/>
    <w:pitch w:val="variable"/>
    <w:sig w:usb0="8000002F" w:usb1="4000004A" w:usb2="00000000" w:usb3="00000000" w:csb0="00000001" w:csb1="00000000"/>
  </w:font>
  <w:font w:name="HelveticaNeue LT 55 Roman">
    <w:panose1 w:val="02000503040000020004"/>
    <w:charset w:val="00"/>
    <w:family w:val="auto"/>
    <w:pitch w:val="variable"/>
    <w:sig w:usb0="80000027" w:usb1="00000000" w:usb2="00000000" w:usb3="00000000" w:csb0="00000001" w:csb1="00000000"/>
  </w:font>
  <w:font w:name="HelveticaNeue LT 57 Cn">
    <w:panose1 w:val="02000400000000000000"/>
    <w:charset w:val="00"/>
    <w:family w:val="auto"/>
    <w:pitch w:val="variable"/>
    <w:sig w:usb0="8000002F" w:usb1="0000004A" w:usb2="00000000" w:usb3="00000000" w:csb0="00000001" w:csb1="00000000"/>
  </w:font>
  <w:font w:name="HelveticaNeue LT 65 Medium">
    <w:panose1 w:val="020B0604020202020204"/>
    <w:charset w:val="00"/>
    <w:family w:val="swiss"/>
    <w:pitch w:val="variable"/>
    <w:sig w:usb0="8000002F" w:usb1="4000004A" w:usb2="00000000" w:usb3="00000000" w:csb0="00000001" w:csb1="00000000"/>
  </w:font>
  <w:font w:name="HelveticaNeue-Medium">
    <w:panose1 w:val="00000000000000000000"/>
    <w:charset w:val="00"/>
    <w:family w:val="swiss"/>
    <w:notTrueType/>
    <w:pitch w:val="default"/>
    <w:sig w:usb0="00000003" w:usb1="00000000" w:usb2="00000000" w:usb3="00000000" w:csb0="00000001" w:csb1="00000000"/>
  </w:font>
  <w:font w:name="HelveticaNeue-Thin">
    <w:panose1 w:val="00000000000000000000"/>
    <w:charset w:val="00"/>
    <w:family w:val="swiss"/>
    <w:notTrueType/>
    <w:pitch w:val="default"/>
    <w:sig w:usb0="00000003" w:usb1="00000000" w:usb2="00000000" w:usb3="00000000" w:csb0="00000001"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HelveticaNeue-BoldItalic">
    <w:panose1 w:val="00000000000000000000"/>
    <w:charset w:val="00"/>
    <w:family w:val="swiss"/>
    <w:notTrueType/>
    <w:pitch w:val="default"/>
    <w:sig w:usb0="00000003" w:usb1="00000000" w:usb2="00000000" w:usb3="00000000" w:csb0="00000001" w:csb1="00000000"/>
  </w:font>
  <w:font w:name="HelveticaNeueLTStd-LtI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93C" w:rsidRDefault="00AF393C" w:rsidP="00737E4B">
    <w:pPr>
      <w:pStyle w:val="Footer"/>
      <w:tabs>
        <w:tab w:val="clear" w:pos="7380"/>
        <w:tab w:val="clear" w:pos="8278"/>
        <w:tab w:val="left" w:pos="720"/>
        <w:tab w:val="right" w:pos="6840"/>
        <w:tab w:val="right" w:pos="7740"/>
      </w:tabs>
    </w:pPr>
    <w:r w:rsidRPr="00A80313">
      <w:rPr>
        <w:caps/>
      </w:rPr>
      <w:fldChar w:fldCharType="begin"/>
    </w:r>
    <w:r w:rsidRPr="00A80313">
      <w:rPr>
        <w:caps/>
      </w:rPr>
      <w:instrText xml:space="preserve"> PAGE   \* MERGEFORMAT </w:instrText>
    </w:r>
    <w:r w:rsidRPr="00A80313">
      <w:rPr>
        <w:caps/>
      </w:rPr>
      <w:fldChar w:fldCharType="separate"/>
    </w:r>
    <w:r w:rsidR="00F152F5">
      <w:rPr>
        <w:caps/>
        <w:noProof/>
      </w:rPr>
      <w:t>ii</w:t>
    </w:r>
    <w:r w:rsidRPr="00A80313">
      <w:rPr>
        <w:caps/>
        <w:noProof/>
      </w:rPr>
      <w:fldChar w:fldCharType="end"/>
    </w:r>
    <w:r>
      <w:tab/>
      <w:t>Veterans’ Review Board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93C" w:rsidRDefault="00AF393C" w:rsidP="00737E4B">
    <w:pPr>
      <w:pStyle w:val="Footer"/>
      <w:tabs>
        <w:tab w:val="clear" w:pos="7380"/>
        <w:tab w:val="clear" w:pos="8278"/>
        <w:tab w:val="right" w:pos="6840"/>
        <w:tab w:val="right" w:pos="7740"/>
      </w:tabs>
    </w:pPr>
    <w:r>
      <w:tab/>
      <w:t>Annual Report 2017–18</w:t>
    </w:r>
    <w:r>
      <w:tab/>
    </w:r>
    <w:r w:rsidRPr="00A80313">
      <w:rPr>
        <w:caps/>
      </w:rPr>
      <w:fldChar w:fldCharType="begin"/>
    </w:r>
    <w:r w:rsidRPr="00A80313">
      <w:rPr>
        <w:caps/>
      </w:rPr>
      <w:instrText xml:space="preserve"> PAGE   \* MERGEFORMAT </w:instrText>
    </w:r>
    <w:r w:rsidRPr="00A80313">
      <w:rPr>
        <w:caps/>
      </w:rPr>
      <w:fldChar w:fldCharType="separate"/>
    </w:r>
    <w:r w:rsidR="00F152F5">
      <w:rPr>
        <w:caps/>
        <w:noProof/>
      </w:rPr>
      <w:t>iii</w:t>
    </w:r>
    <w:r w:rsidRPr="00A80313">
      <w:rPr>
        <w:caps/>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0A0C" w:rsidRDefault="009E0A0C" w:rsidP="00A80313">
      <w:pPr>
        <w:spacing w:after="0" w:line="240" w:lineRule="auto"/>
      </w:pPr>
      <w:r>
        <w:separator/>
      </w:r>
    </w:p>
  </w:footnote>
  <w:footnote w:type="continuationSeparator" w:id="0">
    <w:p w:rsidR="009E0A0C" w:rsidRDefault="009E0A0C" w:rsidP="00A803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93C" w:rsidRDefault="00AF393C">
    <w:pPr>
      <w:pStyle w:val="Header"/>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93C" w:rsidRDefault="00AF393C">
    <w:pPr>
      <w:pStyle w:val="Head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A10A35"/>
    <w:multiLevelType w:val="hybridMultilevel"/>
    <w:tmpl w:val="14D8116A"/>
    <w:lvl w:ilvl="0" w:tplc="DAAC7266">
      <w:numFmt w:val="bullet"/>
      <w:lvlText w:val="•"/>
      <w:lvlJc w:val="left"/>
      <w:pPr>
        <w:ind w:left="720" w:hanging="360"/>
      </w:pPr>
      <w:rPr>
        <w:rFonts w:ascii="HelveticaNeue LT 35 Thin" w:eastAsiaTheme="minorHAnsi" w:hAnsi="HelveticaNeue LT 35 Thi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686955F6"/>
    <w:multiLevelType w:val="hybridMultilevel"/>
    <w:tmpl w:val="C02CE4BE"/>
    <w:lvl w:ilvl="0" w:tplc="099033BE">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0"/>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A90"/>
    <w:rsid w:val="0000066A"/>
    <w:rsid w:val="0001461A"/>
    <w:rsid w:val="00017660"/>
    <w:rsid w:val="00037DEA"/>
    <w:rsid w:val="00052ECC"/>
    <w:rsid w:val="0005789C"/>
    <w:rsid w:val="00057E32"/>
    <w:rsid w:val="00085327"/>
    <w:rsid w:val="0009465B"/>
    <w:rsid w:val="000A6181"/>
    <w:rsid w:val="000B3C1A"/>
    <w:rsid w:val="000D0478"/>
    <w:rsid w:val="00120C75"/>
    <w:rsid w:val="001216DA"/>
    <w:rsid w:val="00125414"/>
    <w:rsid w:val="00131638"/>
    <w:rsid w:val="001416D3"/>
    <w:rsid w:val="00151CF7"/>
    <w:rsid w:val="00164C95"/>
    <w:rsid w:val="0018474C"/>
    <w:rsid w:val="00186778"/>
    <w:rsid w:val="001962D1"/>
    <w:rsid w:val="001A0E53"/>
    <w:rsid w:val="001C23FE"/>
    <w:rsid w:val="001C59B5"/>
    <w:rsid w:val="001C5C31"/>
    <w:rsid w:val="001D1DCA"/>
    <w:rsid w:val="00210E6A"/>
    <w:rsid w:val="00215363"/>
    <w:rsid w:val="002275D6"/>
    <w:rsid w:val="00247B9E"/>
    <w:rsid w:val="00250A2F"/>
    <w:rsid w:val="00252CFB"/>
    <w:rsid w:val="002730A1"/>
    <w:rsid w:val="00273129"/>
    <w:rsid w:val="00277926"/>
    <w:rsid w:val="00291DBF"/>
    <w:rsid w:val="0029306C"/>
    <w:rsid w:val="00294894"/>
    <w:rsid w:val="002A0139"/>
    <w:rsid w:val="002B3081"/>
    <w:rsid w:val="002B42ED"/>
    <w:rsid w:val="002B5833"/>
    <w:rsid w:val="002C36D8"/>
    <w:rsid w:val="002C66A3"/>
    <w:rsid w:val="002E3F80"/>
    <w:rsid w:val="002E46ED"/>
    <w:rsid w:val="00337429"/>
    <w:rsid w:val="00357919"/>
    <w:rsid w:val="00363B4E"/>
    <w:rsid w:val="003958D8"/>
    <w:rsid w:val="00397AB9"/>
    <w:rsid w:val="003C0C25"/>
    <w:rsid w:val="003C0E06"/>
    <w:rsid w:val="003C1F1B"/>
    <w:rsid w:val="003C24E0"/>
    <w:rsid w:val="003C7E09"/>
    <w:rsid w:val="00400DF1"/>
    <w:rsid w:val="004050B5"/>
    <w:rsid w:val="00417F64"/>
    <w:rsid w:val="004267D9"/>
    <w:rsid w:val="004401A2"/>
    <w:rsid w:val="00450C2F"/>
    <w:rsid w:val="00451B82"/>
    <w:rsid w:val="00467D87"/>
    <w:rsid w:val="004A74AE"/>
    <w:rsid w:val="004B210B"/>
    <w:rsid w:val="004B5B6A"/>
    <w:rsid w:val="004C7568"/>
    <w:rsid w:val="004D44D5"/>
    <w:rsid w:val="004E712E"/>
    <w:rsid w:val="004F6739"/>
    <w:rsid w:val="005150F2"/>
    <w:rsid w:val="005200E8"/>
    <w:rsid w:val="00526AF1"/>
    <w:rsid w:val="00540DAA"/>
    <w:rsid w:val="005721DD"/>
    <w:rsid w:val="005747CD"/>
    <w:rsid w:val="00575E6B"/>
    <w:rsid w:val="00582023"/>
    <w:rsid w:val="00587B14"/>
    <w:rsid w:val="0059142F"/>
    <w:rsid w:val="00592BC5"/>
    <w:rsid w:val="00595A90"/>
    <w:rsid w:val="005A26EC"/>
    <w:rsid w:val="005C46A7"/>
    <w:rsid w:val="005D4FF4"/>
    <w:rsid w:val="005F585B"/>
    <w:rsid w:val="00634A89"/>
    <w:rsid w:val="0065062A"/>
    <w:rsid w:val="00660120"/>
    <w:rsid w:val="00677865"/>
    <w:rsid w:val="00694BA8"/>
    <w:rsid w:val="00697A90"/>
    <w:rsid w:val="006A3528"/>
    <w:rsid w:val="006A417F"/>
    <w:rsid w:val="006A485B"/>
    <w:rsid w:val="006C2306"/>
    <w:rsid w:val="006C7324"/>
    <w:rsid w:val="006D3B58"/>
    <w:rsid w:val="006E690C"/>
    <w:rsid w:val="00711057"/>
    <w:rsid w:val="00717C8E"/>
    <w:rsid w:val="00737E4B"/>
    <w:rsid w:val="0074089C"/>
    <w:rsid w:val="00741668"/>
    <w:rsid w:val="0075081D"/>
    <w:rsid w:val="007556D0"/>
    <w:rsid w:val="00766728"/>
    <w:rsid w:val="00771F79"/>
    <w:rsid w:val="0077675B"/>
    <w:rsid w:val="00797D64"/>
    <w:rsid w:val="00797E5C"/>
    <w:rsid w:val="007A16A3"/>
    <w:rsid w:val="007A37ED"/>
    <w:rsid w:val="007A48CA"/>
    <w:rsid w:val="007D144E"/>
    <w:rsid w:val="007F2C63"/>
    <w:rsid w:val="00845DFB"/>
    <w:rsid w:val="008576D2"/>
    <w:rsid w:val="008814E1"/>
    <w:rsid w:val="008A174F"/>
    <w:rsid w:val="008A5EC2"/>
    <w:rsid w:val="008D1B2A"/>
    <w:rsid w:val="008D2F5D"/>
    <w:rsid w:val="008D48CC"/>
    <w:rsid w:val="008F2DBA"/>
    <w:rsid w:val="00941427"/>
    <w:rsid w:val="00942D8F"/>
    <w:rsid w:val="009566D7"/>
    <w:rsid w:val="0099514B"/>
    <w:rsid w:val="009A6E3C"/>
    <w:rsid w:val="009B689F"/>
    <w:rsid w:val="009D6F81"/>
    <w:rsid w:val="009E0A0C"/>
    <w:rsid w:val="009E5C4D"/>
    <w:rsid w:val="009F4BDE"/>
    <w:rsid w:val="00A22DF3"/>
    <w:rsid w:val="00A3092F"/>
    <w:rsid w:val="00A42141"/>
    <w:rsid w:val="00A438DE"/>
    <w:rsid w:val="00A60746"/>
    <w:rsid w:val="00A80313"/>
    <w:rsid w:val="00A85062"/>
    <w:rsid w:val="00AC6EE4"/>
    <w:rsid w:val="00AD6C55"/>
    <w:rsid w:val="00AE01A4"/>
    <w:rsid w:val="00AE3A46"/>
    <w:rsid w:val="00AF393C"/>
    <w:rsid w:val="00B0434A"/>
    <w:rsid w:val="00B05389"/>
    <w:rsid w:val="00B10E4D"/>
    <w:rsid w:val="00B223B4"/>
    <w:rsid w:val="00B22CAF"/>
    <w:rsid w:val="00B3338E"/>
    <w:rsid w:val="00B62BA7"/>
    <w:rsid w:val="00B67226"/>
    <w:rsid w:val="00B76FD0"/>
    <w:rsid w:val="00B946AE"/>
    <w:rsid w:val="00B97F8B"/>
    <w:rsid w:val="00BE414B"/>
    <w:rsid w:val="00BF472E"/>
    <w:rsid w:val="00BF6EDF"/>
    <w:rsid w:val="00C202FD"/>
    <w:rsid w:val="00C4064A"/>
    <w:rsid w:val="00C437B8"/>
    <w:rsid w:val="00C50C5A"/>
    <w:rsid w:val="00C611D3"/>
    <w:rsid w:val="00C61786"/>
    <w:rsid w:val="00C74977"/>
    <w:rsid w:val="00C84C68"/>
    <w:rsid w:val="00C863AA"/>
    <w:rsid w:val="00C97BA4"/>
    <w:rsid w:val="00CD092B"/>
    <w:rsid w:val="00CF4FA8"/>
    <w:rsid w:val="00D074CA"/>
    <w:rsid w:val="00D47479"/>
    <w:rsid w:val="00D54ACC"/>
    <w:rsid w:val="00D7262C"/>
    <w:rsid w:val="00D81FA9"/>
    <w:rsid w:val="00D824C7"/>
    <w:rsid w:val="00DB1A20"/>
    <w:rsid w:val="00DE0106"/>
    <w:rsid w:val="00E91322"/>
    <w:rsid w:val="00E95825"/>
    <w:rsid w:val="00EB20B1"/>
    <w:rsid w:val="00EC32B8"/>
    <w:rsid w:val="00ED4410"/>
    <w:rsid w:val="00EE3249"/>
    <w:rsid w:val="00EE3DFF"/>
    <w:rsid w:val="00EE6863"/>
    <w:rsid w:val="00EF0FEF"/>
    <w:rsid w:val="00F15279"/>
    <w:rsid w:val="00F152F5"/>
    <w:rsid w:val="00F20F13"/>
    <w:rsid w:val="00F23A7B"/>
    <w:rsid w:val="00F345D3"/>
    <w:rsid w:val="00F36F8C"/>
    <w:rsid w:val="00F430E3"/>
    <w:rsid w:val="00F5278A"/>
    <w:rsid w:val="00F55BF5"/>
    <w:rsid w:val="00F74F14"/>
    <w:rsid w:val="00F86E62"/>
    <w:rsid w:val="00F947DD"/>
    <w:rsid w:val="00FB2136"/>
    <w:rsid w:val="00FB5743"/>
    <w:rsid w:val="00FC10E3"/>
    <w:rsid w:val="00FC41FC"/>
    <w:rsid w:val="00FC6F4E"/>
    <w:rsid w:val="00FD1014"/>
    <w:rsid w:val="00FD3C51"/>
    <w:rsid w:val="00FD50D0"/>
    <w:rsid w:val="00FD72DB"/>
    <w:rsid w:val="00FF34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668"/>
    <w:pPr>
      <w:spacing w:after="160" w:line="220" w:lineRule="atLeast"/>
    </w:pPr>
    <w:rPr>
      <w:rFonts w:ascii="HelveticaNeue LT 35 Thin" w:hAnsi="HelveticaNeue LT 35 Thin"/>
      <w:sz w:val="18"/>
    </w:rPr>
  </w:style>
  <w:style w:type="paragraph" w:styleId="Heading1">
    <w:name w:val="heading 1"/>
    <w:basedOn w:val="Normal"/>
    <w:next w:val="Normal"/>
    <w:link w:val="Heading1Char"/>
    <w:uiPriority w:val="9"/>
    <w:qFormat/>
    <w:rsid w:val="00B223B4"/>
    <w:pPr>
      <w:keepNext/>
      <w:keepLines/>
      <w:spacing w:before="480" w:after="240"/>
      <w:outlineLvl w:val="0"/>
    </w:pPr>
    <w:rPr>
      <w:rFonts w:eastAsiaTheme="majorEastAsia" w:cstheme="majorBidi"/>
      <w:b/>
      <w:bCs/>
      <w:sz w:val="60"/>
      <w:szCs w:val="28"/>
    </w:rPr>
  </w:style>
  <w:style w:type="paragraph" w:styleId="Heading2">
    <w:name w:val="heading 2"/>
    <w:basedOn w:val="Normal"/>
    <w:next w:val="Normal"/>
    <w:link w:val="Heading2Char"/>
    <w:uiPriority w:val="9"/>
    <w:unhideWhenUsed/>
    <w:qFormat/>
    <w:rsid w:val="00120C75"/>
    <w:pPr>
      <w:keepNext/>
      <w:keepLines/>
      <w:spacing w:before="200" w:after="0"/>
      <w:outlineLvl w:val="1"/>
    </w:pPr>
    <w:rPr>
      <w:rFonts w:ascii="HelveticaNeue LT 45 Light" w:eastAsiaTheme="majorEastAsia" w:hAnsi="HelveticaNeue LT 45 Light" w:cstheme="majorBidi"/>
      <w:bCs/>
      <w:sz w:val="40"/>
      <w:szCs w:val="26"/>
    </w:rPr>
  </w:style>
  <w:style w:type="paragraph" w:styleId="Heading3">
    <w:name w:val="heading 3"/>
    <w:basedOn w:val="Normal"/>
    <w:next w:val="Normal"/>
    <w:link w:val="Heading3Char"/>
    <w:uiPriority w:val="9"/>
    <w:unhideWhenUsed/>
    <w:qFormat/>
    <w:rsid w:val="008A5EC2"/>
    <w:pPr>
      <w:keepNext/>
      <w:keepLines/>
      <w:spacing w:before="320"/>
      <w:outlineLvl w:val="2"/>
    </w:pPr>
    <w:rPr>
      <w:rFonts w:ascii="HelveticaNeue LT 55 Roman" w:eastAsiaTheme="majorEastAsia" w:hAnsi="HelveticaNeue LT 55 Roman" w:cstheme="majorBidi"/>
      <w:b/>
      <w:bCs/>
      <w:color w:val="8D0026"/>
      <w:spacing w:val="10"/>
      <w:sz w:val="26"/>
    </w:rPr>
  </w:style>
  <w:style w:type="paragraph" w:styleId="Heading4">
    <w:name w:val="heading 4"/>
    <w:basedOn w:val="Normal"/>
    <w:next w:val="Normal"/>
    <w:link w:val="Heading4Char"/>
    <w:uiPriority w:val="9"/>
    <w:unhideWhenUsed/>
    <w:qFormat/>
    <w:rsid w:val="00AE01A4"/>
    <w:pPr>
      <w:keepNext/>
      <w:keepLines/>
      <w:spacing w:before="200" w:after="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7E4B"/>
    <w:pPr>
      <w:pBdr>
        <w:bottom w:val="single" w:sz="4" w:space="1" w:color="auto"/>
      </w:pBdr>
      <w:tabs>
        <w:tab w:val="center" w:pos="4513"/>
        <w:tab w:val="right" w:pos="9026"/>
      </w:tabs>
      <w:spacing w:after="0"/>
    </w:pPr>
  </w:style>
  <w:style w:type="character" w:customStyle="1" w:styleId="HeaderChar">
    <w:name w:val="Header Char"/>
    <w:basedOn w:val="DefaultParagraphFont"/>
    <w:link w:val="Header"/>
    <w:uiPriority w:val="99"/>
    <w:rsid w:val="00737E4B"/>
    <w:rPr>
      <w:rFonts w:ascii="HelveticaNeue LT 35 Thin" w:hAnsi="HelveticaNeue LT 35 Thin"/>
      <w:sz w:val="18"/>
    </w:rPr>
  </w:style>
  <w:style w:type="paragraph" w:styleId="Footer">
    <w:name w:val="footer"/>
    <w:basedOn w:val="Normal"/>
    <w:link w:val="FooterChar"/>
    <w:uiPriority w:val="99"/>
    <w:unhideWhenUsed/>
    <w:rsid w:val="00737E4B"/>
    <w:pPr>
      <w:pBdr>
        <w:bottom w:val="single" w:sz="4" w:space="3" w:color="auto"/>
      </w:pBdr>
      <w:tabs>
        <w:tab w:val="right" w:pos="7380"/>
        <w:tab w:val="right" w:pos="8278"/>
      </w:tabs>
      <w:spacing w:after="0"/>
    </w:pPr>
    <w:rPr>
      <w:sz w:val="22"/>
    </w:rPr>
  </w:style>
  <w:style w:type="character" w:customStyle="1" w:styleId="FooterChar">
    <w:name w:val="Footer Char"/>
    <w:basedOn w:val="DefaultParagraphFont"/>
    <w:link w:val="Footer"/>
    <w:uiPriority w:val="99"/>
    <w:rsid w:val="00737E4B"/>
    <w:rPr>
      <w:rFonts w:ascii="HelveticaNeue LT 35 Thin" w:hAnsi="HelveticaNeue LT 35 Thin"/>
      <w:sz w:val="22"/>
    </w:rPr>
  </w:style>
  <w:style w:type="table" w:styleId="TableGrid">
    <w:name w:val="Table Grid"/>
    <w:basedOn w:val="TableNormal"/>
    <w:uiPriority w:val="59"/>
    <w:rsid w:val="00AE01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A5EC2"/>
    <w:rPr>
      <w:rFonts w:ascii="HelveticaNeue LT 55 Roman" w:eastAsiaTheme="majorEastAsia" w:hAnsi="HelveticaNeue LT 55 Roman" w:cstheme="majorBidi"/>
      <w:b/>
      <w:bCs/>
      <w:color w:val="8D0026"/>
      <w:spacing w:val="10"/>
      <w:sz w:val="26"/>
    </w:rPr>
  </w:style>
  <w:style w:type="character" w:customStyle="1" w:styleId="Heading4Char">
    <w:name w:val="Heading 4 Char"/>
    <w:basedOn w:val="DefaultParagraphFont"/>
    <w:link w:val="Heading4"/>
    <w:uiPriority w:val="9"/>
    <w:rsid w:val="00AE01A4"/>
    <w:rPr>
      <w:rFonts w:ascii="HelveticaNeue LT 35 Thin" w:eastAsiaTheme="majorEastAsia" w:hAnsi="HelveticaNeue LT 35 Thin" w:cstheme="majorBidi"/>
      <w:b/>
      <w:bCs/>
      <w:iCs/>
      <w:sz w:val="18"/>
    </w:rPr>
  </w:style>
  <w:style w:type="character" w:customStyle="1" w:styleId="Heading1Char">
    <w:name w:val="Heading 1 Char"/>
    <w:basedOn w:val="DefaultParagraphFont"/>
    <w:link w:val="Heading1"/>
    <w:uiPriority w:val="9"/>
    <w:rsid w:val="00B223B4"/>
    <w:rPr>
      <w:rFonts w:ascii="HelveticaNeue LT 35 Thin" w:eastAsiaTheme="majorEastAsia" w:hAnsi="HelveticaNeue LT 35 Thin" w:cstheme="majorBidi"/>
      <w:b/>
      <w:bCs/>
      <w:sz w:val="60"/>
      <w:szCs w:val="28"/>
    </w:rPr>
  </w:style>
  <w:style w:type="paragraph" w:styleId="TOC1">
    <w:name w:val="toc 1"/>
    <w:basedOn w:val="Normal"/>
    <w:next w:val="Normal"/>
    <w:autoRedefine/>
    <w:uiPriority w:val="39"/>
    <w:unhideWhenUsed/>
    <w:rsid w:val="00B946AE"/>
    <w:pPr>
      <w:spacing w:after="100"/>
    </w:pPr>
  </w:style>
  <w:style w:type="character" w:styleId="Hyperlink">
    <w:name w:val="Hyperlink"/>
    <w:basedOn w:val="DefaultParagraphFont"/>
    <w:uiPriority w:val="99"/>
    <w:unhideWhenUsed/>
    <w:rsid w:val="00B946AE"/>
    <w:rPr>
      <w:color w:val="0000FF" w:themeColor="hyperlink"/>
      <w:u w:val="single"/>
    </w:rPr>
  </w:style>
  <w:style w:type="paragraph" w:customStyle="1" w:styleId="Bullet">
    <w:name w:val="Bullet"/>
    <w:basedOn w:val="Normal"/>
    <w:qFormat/>
    <w:rsid w:val="009D6F81"/>
    <w:pPr>
      <w:numPr>
        <w:numId w:val="1"/>
      </w:numPr>
      <w:ind w:left="360"/>
    </w:pPr>
  </w:style>
  <w:style w:type="character" w:customStyle="1" w:styleId="Heading2Char">
    <w:name w:val="Heading 2 Char"/>
    <w:basedOn w:val="DefaultParagraphFont"/>
    <w:link w:val="Heading2"/>
    <w:uiPriority w:val="9"/>
    <w:rsid w:val="00120C75"/>
    <w:rPr>
      <w:rFonts w:ascii="HelveticaNeue LT 45 Light" w:eastAsiaTheme="majorEastAsia" w:hAnsi="HelveticaNeue LT 45 Light" w:cstheme="majorBidi"/>
      <w:bCs/>
      <w:sz w:val="40"/>
      <w:szCs w:val="26"/>
    </w:rPr>
  </w:style>
  <w:style w:type="paragraph" w:customStyle="1" w:styleId="TableText">
    <w:name w:val="TableText"/>
    <w:basedOn w:val="Normal"/>
    <w:qFormat/>
    <w:rsid w:val="005D4FF4"/>
    <w:pPr>
      <w:keepNext/>
      <w:spacing w:before="60" w:after="60" w:line="240" w:lineRule="auto"/>
    </w:pPr>
    <w:rPr>
      <w:rFonts w:ascii="HelveticaNeue LT 57 Cn" w:hAnsi="HelveticaNeue LT 57 Cn"/>
    </w:rPr>
  </w:style>
  <w:style w:type="paragraph" w:customStyle="1" w:styleId="FigureName">
    <w:name w:val="FigureName"/>
    <w:basedOn w:val="Normal"/>
    <w:qFormat/>
    <w:rsid w:val="0074089C"/>
    <w:pPr>
      <w:keepNext/>
      <w:spacing w:before="180"/>
    </w:pPr>
    <w:rPr>
      <w:rFonts w:ascii="HelveticaNeue LT 65 Medium" w:hAnsi="HelveticaNeue LT 65 Medium" w:cs="HelveticaNeue-Medium"/>
      <w:color w:val="A39892"/>
      <w:sz w:val="20"/>
    </w:rPr>
  </w:style>
  <w:style w:type="paragraph" w:customStyle="1" w:styleId="FigurePara">
    <w:name w:val="FigurePara"/>
    <w:basedOn w:val="Normal"/>
    <w:rsid w:val="00FF342B"/>
    <w:pPr>
      <w:pBdr>
        <w:top w:val="single" w:sz="4" w:space="3" w:color="A39892"/>
        <w:left w:val="single" w:sz="4" w:space="4" w:color="A39892"/>
        <w:bottom w:val="single" w:sz="4" w:space="4" w:color="A39892"/>
        <w:right w:val="single" w:sz="4" w:space="4" w:color="A39892"/>
      </w:pBdr>
      <w:spacing w:after="360"/>
      <w:ind w:right="72"/>
    </w:pPr>
  </w:style>
  <w:style w:type="paragraph" w:customStyle="1" w:styleId="TableName">
    <w:name w:val="TableName"/>
    <w:basedOn w:val="TableText"/>
    <w:qFormat/>
    <w:rsid w:val="004F6739"/>
    <w:pPr>
      <w:spacing w:before="160" w:after="100"/>
    </w:pPr>
    <w:rPr>
      <w:b/>
    </w:rPr>
  </w:style>
  <w:style w:type="paragraph" w:styleId="TOC2">
    <w:name w:val="toc 2"/>
    <w:basedOn w:val="Normal"/>
    <w:next w:val="Normal"/>
    <w:autoRedefine/>
    <w:uiPriority w:val="39"/>
    <w:unhideWhenUsed/>
    <w:rsid w:val="009A6E3C"/>
    <w:pPr>
      <w:tabs>
        <w:tab w:val="right" w:leader="dot" w:pos="7708"/>
      </w:tabs>
      <w:spacing w:after="100"/>
      <w:ind w:left="360"/>
    </w:pPr>
  </w:style>
  <w:style w:type="paragraph" w:customStyle="1" w:styleId="BioName">
    <w:name w:val="BioName"/>
    <w:basedOn w:val="Normal"/>
    <w:qFormat/>
    <w:rsid w:val="00797D64"/>
    <w:pPr>
      <w:keepNext/>
      <w:spacing w:before="80" w:after="80"/>
    </w:pPr>
    <w:rPr>
      <w:rFonts w:ascii="HelveticaNeue LT 55 Roman" w:hAnsi="HelveticaNeue LT 55 Roman"/>
      <w:b/>
    </w:rPr>
  </w:style>
  <w:style w:type="paragraph" w:styleId="Index2">
    <w:name w:val="index 2"/>
    <w:basedOn w:val="Normal"/>
    <w:next w:val="Normal"/>
    <w:autoRedefine/>
    <w:uiPriority w:val="99"/>
    <w:unhideWhenUsed/>
    <w:rsid w:val="00EC32B8"/>
    <w:pPr>
      <w:tabs>
        <w:tab w:val="right" w:leader="dot" w:pos="7708"/>
      </w:tabs>
      <w:spacing w:after="120" w:line="240" w:lineRule="auto"/>
      <w:ind w:left="374" w:hanging="187"/>
      <w:contextualSpacing/>
    </w:pPr>
  </w:style>
  <w:style w:type="paragraph" w:styleId="Index1">
    <w:name w:val="index 1"/>
    <w:basedOn w:val="Normal"/>
    <w:next w:val="Normal"/>
    <w:autoRedefine/>
    <w:uiPriority w:val="99"/>
    <w:unhideWhenUsed/>
    <w:rsid w:val="00AD6C55"/>
    <w:pPr>
      <w:tabs>
        <w:tab w:val="right" w:leader="dot" w:pos="7708"/>
      </w:tabs>
      <w:spacing w:after="120" w:line="240" w:lineRule="auto"/>
      <w:ind w:left="187" w:hanging="187"/>
    </w:pPr>
  </w:style>
  <w:style w:type="paragraph" w:styleId="IndexHeading">
    <w:name w:val="index heading"/>
    <w:basedOn w:val="Normal"/>
    <w:next w:val="Index1"/>
    <w:uiPriority w:val="99"/>
    <w:semiHidden/>
    <w:unhideWhenUsed/>
    <w:rsid w:val="00741668"/>
    <w:pPr>
      <w:spacing w:before="180"/>
    </w:pPr>
    <w:rPr>
      <w:rFonts w:ascii="HelveticaNeue LT 55 Roman" w:eastAsiaTheme="majorEastAsia" w:hAnsi="HelveticaNeue LT 55 Roman" w:cstheme="majorBidi"/>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668"/>
    <w:pPr>
      <w:spacing w:after="160" w:line="220" w:lineRule="atLeast"/>
    </w:pPr>
    <w:rPr>
      <w:rFonts w:ascii="HelveticaNeue LT 35 Thin" w:hAnsi="HelveticaNeue LT 35 Thin"/>
      <w:sz w:val="18"/>
    </w:rPr>
  </w:style>
  <w:style w:type="paragraph" w:styleId="Heading1">
    <w:name w:val="heading 1"/>
    <w:basedOn w:val="Normal"/>
    <w:next w:val="Normal"/>
    <w:link w:val="Heading1Char"/>
    <w:uiPriority w:val="9"/>
    <w:qFormat/>
    <w:rsid w:val="00B223B4"/>
    <w:pPr>
      <w:keepNext/>
      <w:keepLines/>
      <w:spacing w:before="480" w:after="240"/>
      <w:outlineLvl w:val="0"/>
    </w:pPr>
    <w:rPr>
      <w:rFonts w:eastAsiaTheme="majorEastAsia" w:cstheme="majorBidi"/>
      <w:b/>
      <w:bCs/>
      <w:sz w:val="60"/>
      <w:szCs w:val="28"/>
    </w:rPr>
  </w:style>
  <w:style w:type="paragraph" w:styleId="Heading2">
    <w:name w:val="heading 2"/>
    <w:basedOn w:val="Normal"/>
    <w:next w:val="Normal"/>
    <w:link w:val="Heading2Char"/>
    <w:uiPriority w:val="9"/>
    <w:unhideWhenUsed/>
    <w:qFormat/>
    <w:rsid w:val="00120C75"/>
    <w:pPr>
      <w:keepNext/>
      <w:keepLines/>
      <w:spacing w:before="200" w:after="0"/>
      <w:outlineLvl w:val="1"/>
    </w:pPr>
    <w:rPr>
      <w:rFonts w:ascii="HelveticaNeue LT 45 Light" w:eastAsiaTheme="majorEastAsia" w:hAnsi="HelveticaNeue LT 45 Light" w:cstheme="majorBidi"/>
      <w:bCs/>
      <w:sz w:val="40"/>
      <w:szCs w:val="26"/>
    </w:rPr>
  </w:style>
  <w:style w:type="paragraph" w:styleId="Heading3">
    <w:name w:val="heading 3"/>
    <w:basedOn w:val="Normal"/>
    <w:next w:val="Normal"/>
    <w:link w:val="Heading3Char"/>
    <w:uiPriority w:val="9"/>
    <w:unhideWhenUsed/>
    <w:qFormat/>
    <w:rsid w:val="008A5EC2"/>
    <w:pPr>
      <w:keepNext/>
      <w:keepLines/>
      <w:spacing w:before="320"/>
      <w:outlineLvl w:val="2"/>
    </w:pPr>
    <w:rPr>
      <w:rFonts w:ascii="HelveticaNeue LT 55 Roman" w:eastAsiaTheme="majorEastAsia" w:hAnsi="HelveticaNeue LT 55 Roman" w:cstheme="majorBidi"/>
      <w:b/>
      <w:bCs/>
      <w:color w:val="8D0026"/>
      <w:spacing w:val="10"/>
      <w:sz w:val="26"/>
    </w:rPr>
  </w:style>
  <w:style w:type="paragraph" w:styleId="Heading4">
    <w:name w:val="heading 4"/>
    <w:basedOn w:val="Normal"/>
    <w:next w:val="Normal"/>
    <w:link w:val="Heading4Char"/>
    <w:uiPriority w:val="9"/>
    <w:unhideWhenUsed/>
    <w:qFormat/>
    <w:rsid w:val="00AE01A4"/>
    <w:pPr>
      <w:keepNext/>
      <w:keepLines/>
      <w:spacing w:before="200" w:after="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7E4B"/>
    <w:pPr>
      <w:pBdr>
        <w:bottom w:val="single" w:sz="4" w:space="1" w:color="auto"/>
      </w:pBdr>
      <w:tabs>
        <w:tab w:val="center" w:pos="4513"/>
        <w:tab w:val="right" w:pos="9026"/>
      </w:tabs>
      <w:spacing w:after="0"/>
    </w:pPr>
  </w:style>
  <w:style w:type="character" w:customStyle="1" w:styleId="HeaderChar">
    <w:name w:val="Header Char"/>
    <w:basedOn w:val="DefaultParagraphFont"/>
    <w:link w:val="Header"/>
    <w:uiPriority w:val="99"/>
    <w:rsid w:val="00737E4B"/>
    <w:rPr>
      <w:rFonts w:ascii="HelveticaNeue LT 35 Thin" w:hAnsi="HelveticaNeue LT 35 Thin"/>
      <w:sz w:val="18"/>
    </w:rPr>
  </w:style>
  <w:style w:type="paragraph" w:styleId="Footer">
    <w:name w:val="footer"/>
    <w:basedOn w:val="Normal"/>
    <w:link w:val="FooterChar"/>
    <w:uiPriority w:val="99"/>
    <w:unhideWhenUsed/>
    <w:rsid w:val="00737E4B"/>
    <w:pPr>
      <w:pBdr>
        <w:bottom w:val="single" w:sz="4" w:space="3" w:color="auto"/>
      </w:pBdr>
      <w:tabs>
        <w:tab w:val="right" w:pos="7380"/>
        <w:tab w:val="right" w:pos="8278"/>
      </w:tabs>
      <w:spacing w:after="0"/>
    </w:pPr>
    <w:rPr>
      <w:sz w:val="22"/>
    </w:rPr>
  </w:style>
  <w:style w:type="character" w:customStyle="1" w:styleId="FooterChar">
    <w:name w:val="Footer Char"/>
    <w:basedOn w:val="DefaultParagraphFont"/>
    <w:link w:val="Footer"/>
    <w:uiPriority w:val="99"/>
    <w:rsid w:val="00737E4B"/>
    <w:rPr>
      <w:rFonts w:ascii="HelveticaNeue LT 35 Thin" w:hAnsi="HelveticaNeue LT 35 Thin"/>
      <w:sz w:val="22"/>
    </w:rPr>
  </w:style>
  <w:style w:type="table" w:styleId="TableGrid">
    <w:name w:val="Table Grid"/>
    <w:basedOn w:val="TableNormal"/>
    <w:uiPriority w:val="59"/>
    <w:rsid w:val="00AE01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A5EC2"/>
    <w:rPr>
      <w:rFonts w:ascii="HelveticaNeue LT 55 Roman" w:eastAsiaTheme="majorEastAsia" w:hAnsi="HelveticaNeue LT 55 Roman" w:cstheme="majorBidi"/>
      <w:b/>
      <w:bCs/>
      <w:color w:val="8D0026"/>
      <w:spacing w:val="10"/>
      <w:sz w:val="26"/>
    </w:rPr>
  </w:style>
  <w:style w:type="character" w:customStyle="1" w:styleId="Heading4Char">
    <w:name w:val="Heading 4 Char"/>
    <w:basedOn w:val="DefaultParagraphFont"/>
    <w:link w:val="Heading4"/>
    <w:uiPriority w:val="9"/>
    <w:rsid w:val="00AE01A4"/>
    <w:rPr>
      <w:rFonts w:ascii="HelveticaNeue LT 35 Thin" w:eastAsiaTheme="majorEastAsia" w:hAnsi="HelveticaNeue LT 35 Thin" w:cstheme="majorBidi"/>
      <w:b/>
      <w:bCs/>
      <w:iCs/>
      <w:sz w:val="18"/>
    </w:rPr>
  </w:style>
  <w:style w:type="character" w:customStyle="1" w:styleId="Heading1Char">
    <w:name w:val="Heading 1 Char"/>
    <w:basedOn w:val="DefaultParagraphFont"/>
    <w:link w:val="Heading1"/>
    <w:uiPriority w:val="9"/>
    <w:rsid w:val="00B223B4"/>
    <w:rPr>
      <w:rFonts w:ascii="HelveticaNeue LT 35 Thin" w:eastAsiaTheme="majorEastAsia" w:hAnsi="HelveticaNeue LT 35 Thin" w:cstheme="majorBidi"/>
      <w:b/>
      <w:bCs/>
      <w:sz w:val="60"/>
      <w:szCs w:val="28"/>
    </w:rPr>
  </w:style>
  <w:style w:type="paragraph" w:styleId="TOC1">
    <w:name w:val="toc 1"/>
    <w:basedOn w:val="Normal"/>
    <w:next w:val="Normal"/>
    <w:autoRedefine/>
    <w:uiPriority w:val="39"/>
    <w:unhideWhenUsed/>
    <w:rsid w:val="00B946AE"/>
    <w:pPr>
      <w:spacing w:after="100"/>
    </w:pPr>
  </w:style>
  <w:style w:type="character" w:styleId="Hyperlink">
    <w:name w:val="Hyperlink"/>
    <w:basedOn w:val="DefaultParagraphFont"/>
    <w:uiPriority w:val="99"/>
    <w:unhideWhenUsed/>
    <w:rsid w:val="00B946AE"/>
    <w:rPr>
      <w:color w:val="0000FF" w:themeColor="hyperlink"/>
      <w:u w:val="single"/>
    </w:rPr>
  </w:style>
  <w:style w:type="paragraph" w:customStyle="1" w:styleId="Bullet">
    <w:name w:val="Bullet"/>
    <w:basedOn w:val="Normal"/>
    <w:qFormat/>
    <w:rsid w:val="009D6F81"/>
    <w:pPr>
      <w:numPr>
        <w:numId w:val="1"/>
      </w:numPr>
      <w:ind w:left="360"/>
    </w:pPr>
  </w:style>
  <w:style w:type="character" w:customStyle="1" w:styleId="Heading2Char">
    <w:name w:val="Heading 2 Char"/>
    <w:basedOn w:val="DefaultParagraphFont"/>
    <w:link w:val="Heading2"/>
    <w:uiPriority w:val="9"/>
    <w:rsid w:val="00120C75"/>
    <w:rPr>
      <w:rFonts w:ascii="HelveticaNeue LT 45 Light" w:eastAsiaTheme="majorEastAsia" w:hAnsi="HelveticaNeue LT 45 Light" w:cstheme="majorBidi"/>
      <w:bCs/>
      <w:sz w:val="40"/>
      <w:szCs w:val="26"/>
    </w:rPr>
  </w:style>
  <w:style w:type="paragraph" w:customStyle="1" w:styleId="TableText">
    <w:name w:val="TableText"/>
    <w:basedOn w:val="Normal"/>
    <w:qFormat/>
    <w:rsid w:val="005D4FF4"/>
    <w:pPr>
      <w:keepNext/>
      <w:spacing w:before="60" w:after="60" w:line="240" w:lineRule="auto"/>
    </w:pPr>
    <w:rPr>
      <w:rFonts w:ascii="HelveticaNeue LT 57 Cn" w:hAnsi="HelveticaNeue LT 57 Cn"/>
    </w:rPr>
  </w:style>
  <w:style w:type="paragraph" w:customStyle="1" w:styleId="FigureName">
    <w:name w:val="FigureName"/>
    <w:basedOn w:val="Normal"/>
    <w:qFormat/>
    <w:rsid w:val="0074089C"/>
    <w:pPr>
      <w:keepNext/>
      <w:spacing w:before="180"/>
    </w:pPr>
    <w:rPr>
      <w:rFonts w:ascii="HelveticaNeue LT 65 Medium" w:hAnsi="HelveticaNeue LT 65 Medium" w:cs="HelveticaNeue-Medium"/>
      <w:color w:val="A39892"/>
      <w:sz w:val="20"/>
    </w:rPr>
  </w:style>
  <w:style w:type="paragraph" w:customStyle="1" w:styleId="FigurePara">
    <w:name w:val="FigurePara"/>
    <w:basedOn w:val="Normal"/>
    <w:rsid w:val="00FF342B"/>
    <w:pPr>
      <w:pBdr>
        <w:top w:val="single" w:sz="4" w:space="3" w:color="A39892"/>
        <w:left w:val="single" w:sz="4" w:space="4" w:color="A39892"/>
        <w:bottom w:val="single" w:sz="4" w:space="4" w:color="A39892"/>
        <w:right w:val="single" w:sz="4" w:space="4" w:color="A39892"/>
      </w:pBdr>
      <w:spacing w:after="360"/>
      <w:ind w:right="72"/>
    </w:pPr>
  </w:style>
  <w:style w:type="paragraph" w:customStyle="1" w:styleId="TableName">
    <w:name w:val="TableName"/>
    <w:basedOn w:val="TableText"/>
    <w:qFormat/>
    <w:rsid w:val="004F6739"/>
    <w:pPr>
      <w:spacing w:before="160" w:after="100"/>
    </w:pPr>
    <w:rPr>
      <w:b/>
    </w:rPr>
  </w:style>
  <w:style w:type="paragraph" w:styleId="TOC2">
    <w:name w:val="toc 2"/>
    <w:basedOn w:val="Normal"/>
    <w:next w:val="Normal"/>
    <w:autoRedefine/>
    <w:uiPriority w:val="39"/>
    <w:unhideWhenUsed/>
    <w:rsid w:val="009A6E3C"/>
    <w:pPr>
      <w:tabs>
        <w:tab w:val="right" w:leader="dot" w:pos="7708"/>
      </w:tabs>
      <w:spacing w:after="100"/>
      <w:ind w:left="360"/>
    </w:pPr>
  </w:style>
  <w:style w:type="paragraph" w:customStyle="1" w:styleId="BioName">
    <w:name w:val="BioName"/>
    <w:basedOn w:val="Normal"/>
    <w:qFormat/>
    <w:rsid w:val="00797D64"/>
    <w:pPr>
      <w:keepNext/>
      <w:spacing w:before="80" w:after="80"/>
    </w:pPr>
    <w:rPr>
      <w:rFonts w:ascii="HelveticaNeue LT 55 Roman" w:hAnsi="HelveticaNeue LT 55 Roman"/>
      <w:b/>
    </w:rPr>
  </w:style>
  <w:style w:type="paragraph" w:styleId="Index2">
    <w:name w:val="index 2"/>
    <w:basedOn w:val="Normal"/>
    <w:next w:val="Normal"/>
    <w:autoRedefine/>
    <w:uiPriority w:val="99"/>
    <w:unhideWhenUsed/>
    <w:rsid w:val="00EC32B8"/>
    <w:pPr>
      <w:tabs>
        <w:tab w:val="right" w:leader="dot" w:pos="7708"/>
      </w:tabs>
      <w:spacing w:after="120" w:line="240" w:lineRule="auto"/>
      <w:ind w:left="374" w:hanging="187"/>
      <w:contextualSpacing/>
    </w:pPr>
  </w:style>
  <w:style w:type="paragraph" w:styleId="Index1">
    <w:name w:val="index 1"/>
    <w:basedOn w:val="Normal"/>
    <w:next w:val="Normal"/>
    <w:autoRedefine/>
    <w:uiPriority w:val="99"/>
    <w:unhideWhenUsed/>
    <w:rsid w:val="00AD6C55"/>
    <w:pPr>
      <w:tabs>
        <w:tab w:val="right" w:leader="dot" w:pos="7708"/>
      </w:tabs>
      <w:spacing w:after="120" w:line="240" w:lineRule="auto"/>
      <w:ind w:left="187" w:hanging="187"/>
    </w:pPr>
  </w:style>
  <w:style w:type="paragraph" w:styleId="IndexHeading">
    <w:name w:val="index heading"/>
    <w:basedOn w:val="Normal"/>
    <w:next w:val="Index1"/>
    <w:uiPriority w:val="99"/>
    <w:semiHidden/>
    <w:unhideWhenUsed/>
    <w:rsid w:val="00741668"/>
    <w:pPr>
      <w:spacing w:before="180"/>
    </w:pPr>
    <w:rPr>
      <w:rFonts w:ascii="HelveticaNeue LT 55 Roman" w:eastAsiaTheme="majorEastAsia" w:hAnsi="HelveticaNeue LT 55 Roman" w:cstheme="maj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E0131E-3797-42CF-88DD-0B9C1A5B5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88</Pages>
  <Words>20456</Words>
  <Characters>116603</Characters>
  <Application>Microsoft Office Word</Application>
  <DocSecurity>0</DocSecurity>
  <Lines>971</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Phillips</dc:creator>
  <cp:lastModifiedBy>Debbie Phillips</cp:lastModifiedBy>
  <cp:revision>4</cp:revision>
  <cp:lastPrinted>2018-11-30T04:35:00Z</cp:lastPrinted>
  <dcterms:created xsi:type="dcterms:W3CDTF">2018-12-12T05:48:00Z</dcterms:created>
  <dcterms:modified xsi:type="dcterms:W3CDTF">2018-12-12T05:57:00Z</dcterms:modified>
</cp:coreProperties>
</file>